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F4A6D" w:rsidRPr="000F4A6D" w:rsidTr="000F4A6D">
        <w:trPr>
          <w:tblCellSpacing w:w="15" w:type="dxa"/>
        </w:trPr>
        <w:tc>
          <w:tcPr>
            <w:tcW w:w="0" w:type="auto"/>
            <w:vAlign w:val="center"/>
            <w:hideMark/>
          </w:tcPr>
          <w:p w:rsidR="000F4A6D" w:rsidRPr="000F4A6D" w:rsidRDefault="000F4A6D" w:rsidP="000F4A6D">
            <w:pPr>
              <w:spacing w:after="0" w:line="240" w:lineRule="auto"/>
              <w:rPr>
                <w:rFonts w:ascii="Times New Roman" w:eastAsia="Times New Roman" w:hAnsi="Times New Roman" w:cs="Times New Roman"/>
                <w:sz w:val="24"/>
                <w:szCs w:val="24"/>
              </w:rPr>
            </w:pP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rPr>
                <w:rFonts w:ascii="Arial" w:eastAsia="Times New Roman" w:hAnsi="Arial" w:cs="Arial"/>
                <w:b/>
                <w:bCs/>
                <w:color w:val="333467"/>
                <w:sz w:val="20"/>
                <w:szCs w:val="20"/>
              </w:rPr>
            </w:pPr>
            <w:proofErr w:type="spellStart"/>
            <w:r w:rsidRPr="000F4A6D">
              <w:rPr>
                <w:rFonts w:ascii="Arial" w:eastAsia="Times New Roman" w:hAnsi="Arial" w:cs="Arial"/>
                <w:b/>
                <w:bCs/>
                <w:color w:val="333467"/>
                <w:sz w:val="20"/>
                <w:szCs w:val="20"/>
              </w:rPr>
              <w:t>Проблемы</w:t>
            </w:r>
            <w:proofErr w:type="spellEnd"/>
            <w:r w:rsidRPr="000F4A6D">
              <w:rPr>
                <w:rFonts w:ascii="Arial" w:eastAsia="Times New Roman" w:hAnsi="Arial" w:cs="Arial"/>
                <w:b/>
                <w:bCs/>
                <w:color w:val="333467"/>
                <w:sz w:val="20"/>
                <w:szCs w:val="20"/>
              </w:rPr>
              <w:t xml:space="preserve"> </w:t>
            </w:r>
            <w:proofErr w:type="spellStart"/>
            <w:r w:rsidRPr="000F4A6D">
              <w:rPr>
                <w:rFonts w:ascii="Arial" w:eastAsia="Times New Roman" w:hAnsi="Arial" w:cs="Arial"/>
                <w:b/>
                <w:bCs/>
                <w:color w:val="333467"/>
                <w:sz w:val="20"/>
                <w:szCs w:val="20"/>
              </w:rPr>
              <w:t>современной</w:t>
            </w:r>
            <w:proofErr w:type="spellEnd"/>
            <w:r w:rsidRPr="000F4A6D">
              <w:rPr>
                <w:rFonts w:ascii="Arial" w:eastAsia="Times New Roman" w:hAnsi="Arial" w:cs="Arial"/>
                <w:b/>
                <w:bCs/>
                <w:color w:val="333467"/>
                <w:sz w:val="20"/>
                <w:szCs w:val="20"/>
              </w:rPr>
              <w:t xml:space="preserve"> </w:t>
            </w:r>
            <w:proofErr w:type="spellStart"/>
            <w:r w:rsidRPr="000F4A6D">
              <w:rPr>
                <w:rFonts w:ascii="Arial" w:eastAsia="Times New Roman" w:hAnsi="Arial" w:cs="Arial"/>
                <w:b/>
                <w:bCs/>
                <w:color w:val="333467"/>
                <w:sz w:val="20"/>
                <w:szCs w:val="20"/>
              </w:rPr>
              <w:t>экономики</w:t>
            </w:r>
            <w:proofErr w:type="spellEnd"/>
            <w:r w:rsidRPr="000F4A6D">
              <w:rPr>
                <w:rFonts w:ascii="Arial" w:eastAsia="Times New Roman" w:hAnsi="Arial" w:cs="Arial"/>
                <w:b/>
                <w:bCs/>
                <w:color w:val="333467"/>
                <w:sz w:val="20"/>
                <w:szCs w:val="20"/>
              </w:rPr>
              <w:t>, N 1 (29), 2009</w:t>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rPr>
                <w:rFonts w:ascii="Arial" w:eastAsia="Times New Roman" w:hAnsi="Arial" w:cs="Arial"/>
                <w:b/>
                <w:bCs/>
                <w:color w:val="333467"/>
                <w:sz w:val="20"/>
                <w:szCs w:val="20"/>
              </w:rPr>
            </w:pPr>
          </w:p>
        </w:tc>
      </w:tr>
      <w:tr w:rsidR="000F4A6D" w:rsidRPr="000F4A6D" w:rsidTr="000F4A6D">
        <w:trPr>
          <w:tblCellSpacing w:w="15" w:type="dxa"/>
        </w:trPr>
        <w:tc>
          <w:tcPr>
            <w:tcW w:w="0" w:type="auto"/>
            <w:shd w:val="clear" w:color="auto" w:fill="D3D3D3"/>
            <w:vAlign w:val="center"/>
            <w:hideMark/>
          </w:tcPr>
          <w:p w:rsidR="000F4A6D" w:rsidRPr="000F4A6D" w:rsidRDefault="000F4A6D" w:rsidP="000F4A6D">
            <w:pPr>
              <w:spacing w:after="0" w:line="240" w:lineRule="auto"/>
              <w:rPr>
                <w:rFonts w:ascii="Times New Roman" w:eastAsia="Times New Roman" w:hAnsi="Times New Roman" w:cs="Times New Roman"/>
                <w:b/>
                <w:bCs/>
                <w:color w:val="000000"/>
                <w:sz w:val="28"/>
                <w:szCs w:val="28"/>
                <w:lang w:val="ru-RU"/>
              </w:rPr>
            </w:pPr>
            <w:r w:rsidRPr="000F4A6D">
              <w:rPr>
                <w:rFonts w:ascii="Times New Roman" w:eastAsia="Times New Roman" w:hAnsi="Times New Roman" w:cs="Times New Roman"/>
                <w:b/>
                <w:bCs/>
                <w:color w:val="000000"/>
                <w:sz w:val="28"/>
                <w:szCs w:val="28"/>
                <w:lang w:val="ru-RU"/>
              </w:rPr>
              <w:t>ФИНАНСОВО-КРЕДИТНАЯ СИСТЕМА. БЮДЖЕТНОЕ, ВАЛЮТНОЕ И КРЕДИТНОЕ РЕГУЛИРОВАНИЕ ЭКОНОМИКИ, ИНВЕСТИЦИОННЫЕ РЕСУРСЫ</w:t>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rPr>
                <w:rFonts w:ascii="Times New Roman" w:eastAsia="Times New Roman" w:hAnsi="Times New Roman" w:cs="Times New Roman"/>
                <w:b/>
                <w:bCs/>
                <w:color w:val="000000"/>
                <w:sz w:val="28"/>
                <w:szCs w:val="28"/>
                <w:lang w:val="ru-RU"/>
              </w:rPr>
            </w:pP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rPr>
                <w:rFonts w:ascii="Verdana" w:eastAsia="Times New Roman" w:hAnsi="Verdana" w:cs="Times New Roman"/>
                <w:b/>
                <w:bCs/>
                <w:color w:val="333467"/>
                <w:sz w:val="24"/>
                <w:szCs w:val="24"/>
                <w:lang w:val="ru-RU"/>
              </w:rPr>
            </w:pPr>
            <w:r w:rsidRPr="000F4A6D">
              <w:rPr>
                <w:rFonts w:ascii="Verdana" w:eastAsia="Times New Roman" w:hAnsi="Verdana" w:cs="Times New Roman"/>
                <w:b/>
                <w:bCs/>
                <w:color w:val="333467"/>
                <w:sz w:val="24"/>
                <w:szCs w:val="24"/>
                <w:lang w:val="ru-RU"/>
              </w:rPr>
              <w:br/>
              <w:t>Скоринговое моделирование и финансовая диагностика организаций на основе методики Сбербанка России</w:t>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rPr>
                <w:rFonts w:ascii="Verdana" w:eastAsia="Times New Roman" w:hAnsi="Verdana" w:cs="Times New Roman"/>
                <w:b/>
                <w:bCs/>
                <w:color w:val="333467"/>
                <w:sz w:val="24"/>
                <w:szCs w:val="24"/>
                <w:lang w:val="ru-RU"/>
              </w:rPr>
            </w:pP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right"/>
              <w:rPr>
                <w:rFonts w:ascii="Arial" w:eastAsia="Times New Roman" w:hAnsi="Arial" w:cs="Arial"/>
                <w:color w:val="333467"/>
                <w:sz w:val="20"/>
                <w:szCs w:val="20"/>
                <w:lang w:val="ru-RU"/>
              </w:rPr>
            </w:pPr>
            <w:r w:rsidRPr="000F4A6D">
              <w:rPr>
                <w:rFonts w:ascii="Arial" w:eastAsia="Times New Roman" w:hAnsi="Arial" w:cs="Arial"/>
                <w:b/>
                <w:bCs/>
                <w:color w:val="333467"/>
                <w:sz w:val="20"/>
                <w:szCs w:val="20"/>
              </w:rPr>
              <w:fldChar w:fldCharType="begin"/>
            </w:r>
            <w:r w:rsidRPr="000F4A6D">
              <w:rPr>
                <w:rFonts w:ascii="Arial" w:eastAsia="Times New Roman" w:hAnsi="Arial" w:cs="Arial"/>
                <w:b/>
                <w:bCs/>
                <w:color w:val="333467"/>
                <w:sz w:val="20"/>
                <w:szCs w:val="20"/>
                <w:lang w:val="ru-RU"/>
              </w:rPr>
              <w:instrText xml:space="preserve"> </w:instrText>
            </w:r>
            <w:r w:rsidRPr="000F4A6D">
              <w:rPr>
                <w:rFonts w:ascii="Arial" w:eastAsia="Times New Roman" w:hAnsi="Arial" w:cs="Arial"/>
                <w:b/>
                <w:bCs/>
                <w:color w:val="333467"/>
                <w:sz w:val="20"/>
                <w:szCs w:val="20"/>
              </w:rPr>
              <w:instrText>HYPERLINK</w:instrText>
            </w:r>
            <w:r w:rsidRPr="000F4A6D">
              <w:rPr>
                <w:rFonts w:ascii="Arial" w:eastAsia="Times New Roman" w:hAnsi="Arial" w:cs="Arial"/>
                <w:b/>
                <w:bCs/>
                <w:color w:val="333467"/>
                <w:sz w:val="20"/>
                <w:szCs w:val="20"/>
                <w:lang w:val="ru-RU"/>
              </w:rPr>
              <w:instrText xml:space="preserve"> "</w:instrText>
            </w:r>
            <w:r w:rsidRPr="000F4A6D">
              <w:rPr>
                <w:rFonts w:ascii="Arial" w:eastAsia="Times New Roman" w:hAnsi="Arial" w:cs="Arial"/>
                <w:b/>
                <w:bCs/>
                <w:color w:val="333467"/>
                <w:sz w:val="20"/>
                <w:szCs w:val="20"/>
              </w:rPr>
              <w:instrText>https</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m</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economy</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ru</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author</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php</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nAuthorId</w:instrText>
            </w:r>
            <w:r w:rsidRPr="000F4A6D">
              <w:rPr>
                <w:rFonts w:ascii="Arial" w:eastAsia="Times New Roman" w:hAnsi="Arial" w:cs="Arial"/>
                <w:b/>
                <w:bCs/>
                <w:color w:val="333467"/>
                <w:sz w:val="20"/>
                <w:szCs w:val="20"/>
                <w:lang w:val="ru-RU"/>
              </w:rPr>
              <w:instrText xml:space="preserve">=1566" </w:instrText>
            </w:r>
            <w:r w:rsidRPr="000F4A6D">
              <w:rPr>
                <w:rFonts w:ascii="Arial" w:eastAsia="Times New Roman" w:hAnsi="Arial" w:cs="Arial"/>
                <w:b/>
                <w:bCs/>
                <w:color w:val="333467"/>
                <w:sz w:val="20"/>
                <w:szCs w:val="20"/>
              </w:rPr>
              <w:fldChar w:fldCharType="separate"/>
            </w:r>
            <w:r w:rsidRPr="000F4A6D">
              <w:rPr>
                <w:rFonts w:ascii="Arial" w:eastAsia="Times New Roman" w:hAnsi="Arial" w:cs="Arial"/>
                <w:b/>
                <w:bCs/>
                <w:color w:val="0000FF"/>
                <w:sz w:val="20"/>
                <w:szCs w:val="20"/>
                <w:u w:val="single"/>
                <w:lang w:val="ru-RU"/>
              </w:rPr>
              <w:t>Васина Н. В.</w:t>
            </w:r>
            <w:r w:rsidRPr="000F4A6D">
              <w:rPr>
                <w:rFonts w:ascii="Arial" w:eastAsia="Times New Roman" w:hAnsi="Arial" w:cs="Arial"/>
                <w:b/>
                <w:bCs/>
                <w:color w:val="333467"/>
                <w:sz w:val="20"/>
                <w:szCs w:val="20"/>
              </w:rPr>
              <w:fldChar w:fldCharType="end"/>
            </w:r>
            <w:r w:rsidRPr="000F4A6D">
              <w:rPr>
                <w:rFonts w:ascii="Arial" w:eastAsia="Times New Roman" w:hAnsi="Arial" w:cs="Arial"/>
                <w:color w:val="333467"/>
                <w:sz w:val="20"/>
                <w:szCs w:val="20"/>
                <w:lang w:val="ru-RU"/>
              </w:rPr>
              <w:br/>
            </w:r>
            <w:r w:rsidRPr="000F4A6D">
              <w:rPr>
                <w:rFonts w:ascii="Arial" w:eastAsia="Times New Roman" w:hAnsi="Arial" w:cs="Arial"/>
                <w:i/>
                <w:iCs/>
                <w:color w:val="333467"/>
                <w:sz w:val="20"/>
                <w:szCs w:val="20"/>
                <w:lang w:val="ru-RU"/>
              </w:rPr>
              <w:t>преподаватель кафедры бухгалтерского учета, анализа и статистики Омского филиала Академии бюджета и казначейства МФ РФ</w:t>
            </w:r>
            <w:r w:rsidRPr="000F4A6D">
              <w:rPr>
                <w:rFonts w:ascii="Arial" w:eastAsia="Times New Roman" w:hAnsi="Arial" w:cs="Arial"/>
                <w:color w:val="333467"/>
                <w:sz w:val="20"/>
                <w:szCs w:val="20"/>
                <w:lang w:val="ru-RU"/>
              </w:rPr>
              <w:br/>
            </w:r>
            <w:r w:rsidRPr="000F4A6D">
              <w:rPr>
                <w:rFonts w:ascii="Arial" w:eastAsia="Times New Roman" w:hAnsi="Arial" w:cs="Arial"/>
                <w:b/>
                <w:bCs/>
                <w:color w:val="333467"/>
                <w:sz w:val="20"/>
                <w:szCs w:val="20"/>
              </w:rPr>
              <w:fldChar w:fldCharType="begin"/>
            </w:r>
            <w:r w:rsidRPr="000F4A6D">
              <w:rPr>
                <w:rFonts w:ascii="Arial" w:eastAsia="Times New Roman" w:hAnsi="Arial" w:cs="Arial"/>
                <w:b/>
                <w:bCs/>
                <w:color w:val="333467"/>
                <w:sz w:val="20"/>
                <w:szCs w:val="20"/>
                <w:lang w:val="ru-RU"/>
              </w:rPr>
              <w:instrText xml:space="preserve"> </w:instrText>
            </w:r>
            <w:r w:rsidRPr="000F4A6D">
              <w:rPr>
                <w:rFonts w:ascii="Arial" w:eastAsia="Times New Roman" w:hAnsi="Arial" w:cs="Arial"/>
                <w:b/>
                <w:bCs/>
                <w:color w:val="333467"/>
                <w:sz w:val="20"/>
                <w:szCs w:val="20"/>
              </w:rPr>
              <w:instrText>HYPERLINK</w:instrText>
            </w:r>
            <w:r w:rsidRPr="000F4A6D">
              <w:rPr>
                <w:rFonts w:ascii="Arial" w:eastAsia="Times New Roman" w:hAnsi="Arial" w:cs="Arial"/>
                <w:b/>
                <w:bCs/>
                <w:color w:val="333467"/>
                <w:sz w:val="20"/>
                <w:szCs w:val="20"/>
                <w:lang w:val="ru-RU"/>
              </w:rPr>
              <w:instrText xml:space="preserve"> "</w:instrText>
            </w:r>
            <w:r w:rsidRPr="000F4A6D">
              <w:rPr>
                <w:rFonts w:ascii="Arial" w:eastAsia="Times New Roman" w:hAnsi="Arial" w:cs="Arial"/>
                <w:b/>
                <w:bCs/>
                <w:color w:val="333467"/>
                <w:sz w:val="20"/>
                <w:szCs w:val="20"/>
              </w:rPr>
              <w:instrText>https</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m</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economy</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ru</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author</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php</w:instrText>
            </w:r>
            <w:r w:rsidRPr="000F4A6D">
              <w:rPr>
                <w:rFonts w:ascii="Arial" w:eastAsia="Times New Roman" w:hAnsi="Arial" w:cs="Arial"/>
                <w:b/>
                <w:bCs/>
                <w:color w:val="333467"/>
                <w:sz w:val="20"/>
                <w:szCs w:val="20"/>
                <w:lang w:val="ru-RU"/>
              </w:rPr>
              <w:instrText>?</w:instrText>
            </w:r>
            <w:r w:rsidRPr="000F4A6D">
              <w:rPr>
                <w:rFonts w:ascii="Arial" w:eastAsia="Times New Roman" w:hAnsi="Arial" w:cs="Arial"/>
                <w:b/>
                <w:bCs/>
                <w:color w:val="333467"/>
                <w:sz w:val="20"/>
                <w:szCs w:val="20"/>
              </w:rPr>
              <w:instrText>nAuthorId</w:instrText>
            </w:r>
            <w:r w:rsidRPr="000F4A6D">
              <w:rPr>
                <w:rFonts w:ascii="Arial" w:eastAsia="Times New Roman" w:hAnsi="Arial" w:cs="Arial"/>
                <w:b/>
                <w:bCs/>
                <w:color w:val="333467"/>
                <w:sz w:val="20"/>
                <w:szCs w:val="20"/>
                <w:lang w:val="ru-RU"/>
              </w:rPr>
              <w:instrText xml:space="preserve">=1567" </w:instrText>
            </w:r>
            <w:r w:rsidRPr="000F4A6D">
              <w:rPr>
                <w:rFonts w:ascii="Arial" w:eastAsia="Times New Roman" w:hAnsi="Arial" w:cs="Arial"/>
                <w:b/>
                <w:bCs/>
                <w:color w:val="333467"/>
                <w:sz w:val="20"/>
                <w:szCs w:val="20"/>
              </w:rPr>
              <w:fldChar w:fldCharType="separate"/>
            </w:r>
            <w:r w:rsidRPr="000F4A6D">
              <w:rPr>
                <w:rFonts w:ascii="Arial" w:eastAsia="Times New Roman" w:hAnsi="Arial" w:cs="Arial"/>
                <w:b/>
                <w:bCs/>
                <w:color w:val="0000FF"/>
                <w:sz w:val="20"/>
                <w:szCs w:val="20"/>
                <w:u w:val="single"/>
                <w:lang w:val="ru-RU"/>
              </w:rPr>
              <w:t>Патласов О. Ю.</w:t>
            </w:r>
            <w:r w:rsidRPr="000F4A6D">
              <w:rPr>
                <w:rFonts w:ascii="Arial" w:eastAsia="Times New Roman" w:hAnsi="Arial" w:cs="Arial"/>
                <w:b/>
                <w:bCs/>
                <w:color w:val="333467"/>
                <w:sz w:val="20"/>
                <w:szCs w:val="20"/>
              </w:rPr>
              <w:fldChar w:fldCharType="end"/>
            </w:r>
            <w:r w:rsidRPr="000F4A6D">
              <w:rPr>
                <w:rFonts w:ascii="Arial" w:eastAsia="Times New Roman" w:hAnsi="Arial" w:cs="Arial"/>
                <w:color w:val="333467"/>
                <w:sz w:val="20"/>
                <w:szCs w:val="20"/>
                <w:lang w:val="ru-RU"/>
              </w:rPr>
              <w:br/>
            </w:r>
            <w:r w:rsidRPr="000F4A6D">
              <w:rPr>
                <w:rFonts w:ascii="Arial" w:eastAsia="Times New Roman" w:hAnsi="Arial" w:cs="Arial"/>
                <w:i/>
                <w:iCs/>
                <w:color w:val="333467"/>
                <w:sz w:val="20"/>
                <w:szCs w:val="20"/>
                <w:lang w:val="ru-RU"/>
              </w:rPr>
              <w:t>заведующий кафедрой коммерции, маркетинга и рекламы Омской гуманитарной академии,</w:t>
            </w:r>
            <w:r w:rsidRPr="000F4A6D">
              <w:rPr>
                <w:rFonts w:ascii="Arial" w:eastAsia="Times New Roman" w:hAnsi="Arial" w:cs="Arial"/>
                <w:i/>
                <w:iCs/>
                <w:color w:val="333467"/>
                <w:sz w:val="20"/>
                <w:szCs w:val="20"/>
                <w:lang w:val="ru-RU"/>
              </w:rPr>
              <w:br/>
              <w:t>доктор экономических наук</w:t>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right"/>
              <w:rPr>
                <w:rFonts w:ascii="Arial" w:eastAsia="Times New Roman" w:hAnsi="Arial" w:cs="Arial"/>
                <w:color w:val="333467"/>
                <w:sz w:val="20"/>
                <w:szCs w:val="20"/>
                <w:lang w:val="ru-RU"/>
              </w:rPr>
            </w:pP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lang w:val="ru-RU"/>
              </w:rPr>
            </w:pPr>
            <w:r w:rsidRPr="000F4A6D">
              <w:rPr>
                <w:rFonts w:ascii="Arial" w:eastAsia="Times New Roman" w:hAnsi="Arial" w:cs="Arial"/>
                <w:i/>
                <w:iCs/>
                <w:color w:val="333467"/>
                <w:sz w:val="20"/>
                <w:szCs w:val="20"/>
                <w:lang w:val="ru-RU"/>
              </w:rPr>
              <w:t>В статье предлагается комплекс финансовых моделей, адаптированных к аграрному сектору. Предложенные модели разработаны на основе действующего Регламента Сбербанка РФ (2006) и Методики расчета показателей финансового состояния сельскохозяйственных товаропроизводителей. Модели разработаны в разрезе четырех природно-хозяйственных зон. Для экспресс-анализа выделены два наиболее значимых индикатора и предложена соответствующая регрессионная модель</w:t>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i/>
                <w:iCs/>
                <w:color w:val="333467"/>
                <w:sz w:val="20"/>
                <w:szCs w:val="20"/>
                <w:lang w:val="ru-RU"/>
              </w:rPr>
            </w:pPr>
            <w:r w:rsidRPr="000F4A6D">
              <w:rPr>
                <w:rFonts w:ascii="Arial" w:eastAsia="Times New Roman" w:hAnsi="Arial" w:cs="Arial"/>
                <w:b/>
                <w:bCs/>
                <w:i/>
                <w:iCs/>
                <w:color w:val="333467"/>
                <w:sz w:val="20"/>
                <w:szCs w:val="20"/>
                <w:lang w:val="ru-RU"/>
              </w:rPr>
              <w:t>Ключевые слова:</w:t>
            </w:r>
            <w:r w:rsidRPr="000F4A6D">
              <w:rPr>
                <w:rFonts w:ascii="Arial" w:eastAsia="Times New Roman" w:hAnsi="Arial" w:cs="Arial"/>
                <w:i/>
                <w:iCs/>
                <w:color w:val="333467"/>
                <w:sz w:val="20"/>
                <w:szCs w:val="20"/>
              </w:rPr>
              <w:t> </w:t>
            </w:r>
            <w:hyperlink r:id="rId4" w:history="1">
              <w:r w:rsidRPr="000F4A6D">
                <w:rPr>
                  <w:rFonts w:ascii="Arial" w:eastAsia="Times New Roman" w:hAnsi="Arial" w:cs="Arial"/>
                  <w:i/>
                  <w:iCs/>
                  <w:color w:val="0000FF"/>
                  <w:sz w:val="20"/>
                  <w:szCs w:val="20"/>
                  <w:u w:val="single"/>
                  <w:lang w:val="ru-RU"/>
                </w:rPr>
                <w:t>кризис ликвидности</w:t>
              </w:r>
            </w:hyperlink>
            <w:r w:rsidRPr="000F4A6D">
              <w:rPr>
                <w:rFonts w:ascii="Arial" w:eastAsia="Times New Roman" w:hAnsi="Arial" w:cs="Arial"/>
                <w:i/>
                <w:iCs/>
                <w:color w:val="333467"/>
                <w:sz w:val="20"/>
                <w:szCs w:val="20"/>
                <w:lang w:val="ru-RU"/>
              </w:rPr>
              <w:t>,</w:t>
            </w:r>
            <w:r w:rsidRPr="000F4A6D">
              <w:rPr>
                <w:rFonts w:ascii="Arial" w:eastAsia="Times New Roman" w:hAnsi="Arial" w:cs="Arial"/>
                <w:i/>
                <w:iCs/>
                <w:color w:val="333467"/>
                <w:sz w:val="20"/>
                <w:szCs w:val="20"/>
              </w:rPr>
              <w:t> </w:t>
            </w:r>
            <w:hyperlink r:id="rId5" w:history="1">
              <w:r w:rsidRPr="000F4A6D">
                <w:rPr>
                  <w:rFonts w:ascii="Arial" w:eastAsia="Times New Roman" w:hAnsi="Arial" w:cs="Arial"/>
                  <w:i/>
                  <w:iCs/>
                  <w:color w:val="0000FF"/>
                  <w:sz w:val="20"/>
                  <w:szCs w:val="20"/>
                  <w:u w:val="single"/>
                  <w:lang w:val="ru-RU"/>
                </w:rPr>
                <w:t>банкротство</w:t>
              </w:r>
            </w:hyperlink>
            <w:r w:rsidRPr="000F4A6D">
              <w:rPr>
                <w:rFonts w:ascii="Arial" w:eastAsia="Times New Roman" w:hAnsi="Arial" w:cs="Arial"/>
                <w:i/>
                <w:iCs/>
                <w:color w:val="333467"/>
                <w:sz w:val="20"/>
                <w:szCs w:val="20"/>
                <w:lang w:val="ru-RU"/>
              </w:rPr>
              <w:t>,</w:t>
            </w:r>
            <w:r w:rsidRPr="000F4A6D">
              <w:rPr>
                <w:rFonts w:ascii="Arial" w:eastAsia="Times New Roman" w:hAnsi="Arial" w:cs="Arial"/>
                <w:i/>
                <w:iCs/>
                <w:color w:val="333467"/>
                <w:sz w:val="20"/>
                <w:szCs w:val="20"/>
              </w:rPr>
              <w:t> </w:t>
            </w:r>
            <w:hyperlink r:id="rId6" w:history="1">
              <w:r w:rsidRPr="000F4A6D">
                <w:rPr>
                  <w:rFonts w:ascii="Arial" w:eastAsia="Times New Roman" w:hAnsi="Arial" w:cs="Arial"/>
                  <w:i/>
                  <w:iCs/>
                  <w:color w:val="0000FF"/>
                  <w:sz w:val="20"/>
                  <w:szCs w:val="20"/>
                  <w:u w:val="single"/>
                  <w:lang w:val="ru-RU"/>
                </w:rPr>
                <w:t>оценка кредитоспособности</w:t>
              </w:r>
            </w:hyperlink>
            <w:r w:rsidRPr="000F4A6D">
              <w:rPr>
                <w:rFonts w:ascii="Arial" w:eastAsia="Times New Roman" w:hAnsi="Arial" w:cs="Arial"/>
                <w:i/>
                <w:iCs/>
                <w:color w:val="333467"/>
                <w:sz w:val="20"/>
                <w:szCs w:val="20"/>
                <w:lang w:val="ru-RU"/>
              </w:rPr>
              <w:t>,</w:t>
            </w:r>
            <w:r w:rsidRPr="000F4A6D">
              <w:rPr>
                <w:rFonts w:ascii="Arial" w:eastAsia="Times New Roman" w:hAnsi="Arial" w:cs="Arial"/>
                <w:i/>
                <w:iCs/>
                <w:color w:val="333467"/>
                <w:sz w:val="20"/>
                <w:szCs w:val="20"/>
              </w:rPr>
              <w:t> </w:t>
            </w:r>
            <w:hyperlink r:id="rId7" w:history="1">
              <w:r w:rsidRPr="000F4A6D">
                <w:rPr>
                  <w:rFonts w:ascii="Arial" w:eastAsia="Times New Roman" w:hAnsi="Arial" w:cs="Arial"/>
                  <w:i/>
                  <w:iCs/>
                  <w:color w:val="0000FF"/>
                  <w:sz w:val="20"/>
                  <w:szCs w:val="20"/>
                  <w:u w:val="single"/>
                  <w:lang w:val="ru-RU"/>
                </w:rPr>
                <w:t>сельхозорганизации</w:t>
              </w:r>
            </w:hyperlink>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lang w:val="ru-RU"/>
              </w:rPr>
            </w:pPr>
            <w:r w:rsidRPr="000F4A6D">
              <w:rPr>
                <w:rFonts w:ascii="Arial" w:eastAsia="Times New Roman" w:hAnsi="Arial" w:cs="Arial"/>
                <w:color w:val="333467"/>
                <w:sz w:val="20"/>
                <w:szCs w:val="20"/>
                <w:lang w:val="ru-RU"/>
              </w:rPr>
              <w:br/>
              <w:t xml:space="preserve">Экономический кризис, приобретая глобальные очертания, затрагивает все большее количество стран. После банкротств американских компаний, европейские финансовые власти начали процесс национализации. На международных рынках стал намечаться кризис ликвидности. Центробанки всего мира начали вливать в свои финансовые системы десятки и сотни миллиардов долларов. По мнению аналитиков, данный процесс отражает опасную тенденцию и говорит о серьезности финансовых проблем в мире. Правительства стран Бенилюкса национализировали крупнейший бельгийский банк </w:t>
            </w:r>
            <w:r w:rsidRPr="000F4A6D">
              <w:rPr>
                <w:rFonts w:ascii="Arial" w:eastAsia="Times New Roman" w:hAnsi="Arial" w:cs="Arial"/>
                <w:color w:val="333467"/>
                <w:sz w:val="20"/>
                <w:szCs w:val="20"/>
              </w:rPr>
              <w:t>Fortis</w:t>
            </w:r>
            <w:r w:rsidRPr="000F4A6D">
              <w:rPr>
                <w:rFonts w:ascii="Arial" w:eastAsia="Times New Roman" w:hAnsi="Arial" w:cs="Arial"/>
                <w:color w:val="333467"/>
                <w:sz w:val="20"/>
                <w:szCs w:val="20"/>
                <w:lang w:val="ru-RU"/>
              </w:rPr>
              <w:t xml:space="preserve">. Власти Великобритании произвели частичную национализацию восьмого по размерам банка страны — </w:t>
            </w:r>
            <w:r w:rsidRPr="000F4A6D">
              <w:rPr>
                <w:rFonts w:ascii="Arial" w:eastAsia="Times New Roman" w:hAnsi="Arial" w:cs="Arial"/>
                <w:color w:val="333467"/>
                <w:sz w:val="20"/>
                <w:szCs w:val="20"/>
              </w:rPr>
              <w:t>Bradford</w:t>
            </w:r>
            <w:r w:rsidRPr="000F4A6D">
              <w:rPr>
                <w:rFonts w:ascii="Arial" w:eastAsia="Times New Roman" w:hAnsi="Arial" w:cs="Arial"/>
                <w:color w:val="333467"/>
                <w:sz w:val="20"/>
                <w:szCs w:val="20"/>
                <w:lang w:val="ru-RU"/>
              </w:rPr>
              <w:t xml:space="preserve"> &amp; </w:t>
            </w:r>
            <w:r w:rsidRPr="000F4A6D">
              <w:rPr>
                <w:rFonts w:ascii="Arial" w:eastAsia="Times New Roman" w:hAnsi="Arial" w:cs="Arial"/>
                <w:color w:val="333467"/>
                <w:sz w:val="20"/>
                <w:szCs w:val="20"/>
              </w:rPr>
              <w:t>Bingley</w:t>
            </w:r>
            <w:r w:rsidRPr="000F4A6D">
              <w:rPr>
                <w:rFonts w:ascii="Arial" w:eastAsia="Times New Roman" w:hAnsi="Arial" w:cs="Arial"/>
                <w:color w:val="333467"/>
                <w:sz w:val="20"/>
                <w:szCs w:val="20"/>
                <w:lang w:val="ru-RU"/>
              </w:rPr>
              <w:t xml:space="preserve">, в начале года власти спасали тонущий </w:t>
            </w:r>
            <w:r w:rsidRPr="000F4A6D">
              <w:rPr>
                <w:rFonts w:ascii="Arial" w:eastAsia="Times New Roman" w:hAnsi="Arial" w:cs="Arial"/>
                <w:color w:val="333467"/>
                <w:sz w:val="20"/>
                <w:szCs w:val="20"/>
              </w:rPr>
              <w:t>Northern</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Rock</w:t>
            </w:r>
            <w:r w:rsidRPr="000F4A6D">
              <w:rPr>
                <w:rFonts w:ascii="Arial" w:eastAsia="Times New Roman" w:hAnsi="Arial" w:cs="Arial"/>
                <w:color w:val="333467"/>
                <w:sz w:val="20"/>
                <w:szCs w:val="20"/>
                <w:lang w:val="ru-RU"/>
              </w:rPr>
              <w:t>, шестой по размерам банк страны1.</w:t>
            </w:r>
            <w:r w:rsidRPr="000F4A6D">
              <w:rPr>
                <w:rFonts w:ascii="Arial" w:eastAsia="Times New Roman" w:hAnsi="Arial" w:cs="Arial"/>
                <w:color w:val="333467"/>
                <w:sz w:val="20"/>
                <w:szCs w:val="20"/>
                <w:lang w:val="ru-RU"/>
              </w:rPr>
              <w:br/>
              <w:t xml:space="preserve">Ипотечный кризис в США начался еще в 2006 году. Главной его причиной стал рост невозвратов жилищных кредитов неблагонадежными заемщиками. Кризис начал приобретать международные масштабы весной 2007 года, когда </w:t>
            </w:r>
            <w:r w:rsidRPr="000F4A6D">
              <w:rPr>
                <w:rFonts w:ascii="Arial" w:eastAsia="Times New Roman" w:hAnsi="Arial" w:cs="Arial"/>
                <w:color w:val="333467"/>
                <w:sz w:val="20"/>
                <w:szCs w:val="20"/>
              </w:rPr>
              <w:t>New</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Century</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Financial</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Corporation</w:t>
            </w:r>
            <w:r w:rsidRPr="000F4A6D">
              <w:rPr>
                <w:rFonts w:ascii="Arial" w:eastAsia="Times New Roman" w:hAnsi="Arial" w:cs="Arial"/>
                <w:color w:val="333467"/>
                <w:sz w:val="20"/>
                <w:szCs w:val="20"/>
                <w:lang w:val="ru-RU"/>
              </w:rPr>
              <w:t xml:space="preserve">, крупнейшая ипотечная компания США, занимающаяся кредитованием ненадежных заемщиков, ушла с Нью-Йоркской фондовой биржи. В течение следующих нескольких месяцев понесли убытки или оказались банкротами десятки подобных компаний. С марта по сентябрь 2008 года произошло радикальное изменение «финансового ландшафта» в США. Инвестиционные гиганты </w:t>
            </w:r>
            <w:r w:rsidRPr="000F4A6D">
              <w:rPr>
                <w:rFonts w:ascii="Arial" w:eastAsia="Times New Roman" w:hAnsi="Arial" w:cs="Arial"/>
                <w:color w:val="333467"/>
                <w:sz w:val="20"/>
                <w:szCs w:val="20"/>
              </w:rPr>
              <w:t>Bear</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Sterns</w:t>
            </w:r>
            <w:r w:rsidRPr="000F4A6D">
              <w:rPr>
                <w:rFonts w:ascii="Arial" w:eastAsia="Times New Roman" w:hAnsi="Arial" w:cs="Arial"/>
                <w:color w:val="333467"/>
                <w:sz w:val="20"/>
                <w:szCs w:val="20"/>
                <w:lang w:val="ru-RU"/>
              </w:rPr>
              <w:t xml:space="preserve"> и </w:t>
            </w:r>
            <w:proofErr w:type="spellStart"/>
            <w:r w:rsidRPr="000F4A6D">
              <w:rPr>
                <w:rFonts w:ascii="Arial" w:eastAsia="Times New Roman" w:hAnsi="Arial" w:cs="Arial"/>
                <w:color w:val="333467"/>
                <w:sz w:val="20"/>
                <w:szCs w:val="20"/>
              </w:rPr>
              <w:t>Meryll</w:t>
            </w:r>
            <w:proofErr w:type="spellEnd"/>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Lynch</w:t>
            </w:r>
            <w:r w:rsidRPr="000F4A6D">
              <w:rPr>
                <w:rFonts w:ascii="Arial" w:eastAsia="Times New Roman" w:hAnsi="Arial" w:cs="Arial"/>
                <w:color w:val="333467"/>
                <w:sz w:val="20"/>
                <w:szCs w:val="20"/>
                <w:lang w:val="ru-RU"/>
              </w:rPr>
              <w:t xml:space="preserve"> прекратили свое существование через поглощение; </w:t>
            </w:r>
            <w:r w:rsidRPr="000F4A6D">
              <w:rPr>
                <w:rFonts w:ascii="Arial" w:eastAsia="Times New Roman" w:hAnsi="Arial" w:cs="Arial"/>
                <w:color w:val="333467"/>
                <w:sz w:val="20"/>
                <w:szCs w:val="20"/>
              </w:rPr>
              <w:t>Lehman</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Brothers</w:t>
            </w:r>
            <w:r w:rsidRPr="000F4A6D">
              <w:rPr>
                <w:rFonts w:ascii="Arial" w:eastAsia="Times New Roman" w:hAnsi="Arial" w:cs="Arial"/>
                <w:color w:val="333467"/>
                <w:sz w:val="20"/>
                <w:szCs w:val="20"/>
                <w:lang w:val="ru-RU"/>
              </w:rPr>
              <w:t xml:space="preserve"> обанкротился; под федеральный контроль перешел </w:t>
            </w:r>
            <w:r w:rsidRPr="000F4A6D">
              <w:rPr>
                <w:rFonts w:ascii="Arial" w:eastAsia="Times New Roman" w:hAnsi="Arial" w:cs="Arial"/>
                <w:color w:val="333467"/>
                <w:sz w:val="20"/>
                <w:szCs w:val="20"/>
              </w:rPr>
              <w:t>IndyMac</w:t>
            </w:r>
            <w:r w:rsidRPr="000F4A6D">
              <w:rPr>
                <w:rFonts w:ascii="Arial" w:eastAsia="Times New Roman" w:hAnsi="Arial" w:cs="Arial"/>
                <w:color w:val="333467"/>
                <w:sz w:val="20"/>
                <w:szCs w:val="20"/>
                <w:lang w:val="ru-RU"/>
              </w:rPr>
              <w:t xml:space="preserve">, имевший активы на $32 млрд и депозиты на $19 млрд </w:t>
            </w:r>
            <w:proofErr w:type="gramStart"/>
            <w:r w:rsidRPr="000F4A6D">
              <w:rPr>
                <w:rFonts w:ascii="Arial" w:eastAsia="Times New Roman" w:hAnsi="Arial" w:cs="Arial"/>
                <w:color w:val="333467"/>
                <w:sz w:val="20"/>
                <w:szCs w:val="20"/>
                <w:lang w:val="ru-RU"/>
              </w:rPr>
              <w:t>В</w:t>
            </w:r>
            <w:proofErr w:type="gramEnd"/>
            <w:r w:rsidRPr="000F4A6D">
              <w:rPr>
                <w:rFonts w:ascii="Arial" w:eastAsia="Times New Roman" w:hAnsi="Arial" w:cs="Arial"/>
                <w:color w:val="333467"/>
                <w:sz w:val="20"/>
                <w:szCs w:val="20"/>
                <w:lang w:val="ru-RU"/>
              </w:rPr>
              <w:t xml:space="preserve"> начале сентября Белый дом взял под свое управление ипотечные компании </w:t>
            </w:r>
            <w:r w:rsidRPr="000F4A6D">
              <w:rPr>
                <w:rFonts w:ascii="Arial" w:eastAsia="Times New Roman" w:hAnsi="Arial" w:cs="Arial"/>
                <w:color w:val="333467"/>
                <w:sz w:val="20"/>
                <w:szCs w:val="20"/>
              </w:rPr>
              <w:t>Fannie</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Mae</w:t>
            </w:r>
            <w:r w:rsidRPr="000F4A6D">
              <w:rPr>
                <w:rFonts w:ascii="Arial" w:eastAsia="Times New Roman" w:hAnsi="Arial" w:cs="Arial"/>
                <w:color w:val="333467"/>
                <w:sz w:val="20"/>
                <w:szCs w:val="20"/>
                <w:lang w:val="ru-RU"/>
              </w:rPr>
              <w:t xml:space="preserve"> и </w:t>
            </w:r>
            <w:r w:rsidRPr="000F4A6D">
              <w:rPr>
                <w:rFonts w:ascii="Arial" w:eastAsia="Times New Roman" w:hAnsi="Arial" w:cs="Arial"/>
                <w:color w:val="333467"/>
                <w:sz w:val="20"/>
                <w:szCs w:val="20"/>
              </w:rPr>
              <w:t>Freddie</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Mac</w:t>
            </w:r>
            <w:r w:rsidRPr="000F4A6D">
              <w:rPr>
                <w:rFonts w:ascii="Arial" w:eastAsia="Times New Roman" w:hAnsi="Arial" w:cs="Arial"/>
                <w:color w:val="333467"/>
                <w:sz w:val="20"/>
                <w:szCs w:val="20"/>
                <w:lang w:val="ru-RU"/>
              </w:rPr>
              <w:t xml:space="preserve">, на грани краха также оказалась страховая компании </w:t>
            </w:r>
            <w:r w:rsidRPr="000F4A6D">
              <w:rPr>
                <w:rFonts w:ascii="Arial" w:eastAsia="Times New Roman" w:hAnsi="Arial" w:cs="Arial"/>
                <w:color w:val="333467"/>
                <w:sz w:val="20"/>
                <w:szCs w:val="20"/>
              </w:rPr>
              <w:t>AIG</w:t>
            </w:r>
            <w:r w:rsidRPr="000F4A6D">
              <w:rPr>
                <w:rFonts w:ascii="Arial" w:eastAsia="Times New Roman" w:hAnsi="Arial" w:cs="Arial"/>
                <w:color w:val="333467"/>
                <w:sz w:val="20"/>
                <w:szCs w:val="20"/>
                <w:lang w:val="ru-RU"/>
              </w:rPr>
              <w:t xml:space="preserve">, получившая от государства экстренный кредит. Крах </w:t>
            </w:r>
            <w:proofErr w:type="spellStart"/>
            <w:r w:rsidRPr="000F4A6D">
              <w:rPr>
                <w:rFonts w:ascii="Arial" w:eastAsia="Times New Roman" w:hAnsi="Arial" w:cs="Arial"/>
                <w:color w:val="333467"/>
                <w:sz w:val="20"/>
                <w:szCs w:val="20"/>
              </w:rPr>
              <w:t>WaMu</w:t>
            </w:r>
            <w:proofErr w:type="spellEnd"/>
            <w:r w:rsidRPr="000F4A6D">
              <w:rPr>
                <w:rFonts w:ascii="Arial" w:eastAsia="Times New Roman" w:hAnsi="Arial" w:cs="Arial"/>
                <w:color w:val="333467"/>
                <w:sz w:val="20"/>
                <w:szCs w:val="20"/>
                <w:lang w:val="ru-RU"/>
              </w:rPr>
              <w:t>, имевший активы $307 млрд, на сегодня стал последним случаем из уникальной серии поглощений и полных банкротств, преобразовавших американский финансовый пейзаж, вызвавших обрушения на мировых фондовых рынках. Из 8500 функционирующих в США банков 117, по итогам первого полугодия, включены в число возможных банкротов.</w:t>
            </w:r>
            <w:r w:rsidRPr="000F4A6D">
              <w:rPr>
                <w:rFonts w:ascii="Arial" w:eastAsia="Times New Roman" w:hAnsi="Arial" w:cs="Arial"/>
                <w:color w:val="333467"/>
                <w:sz w:val="20"/>
                <w:szCs w:val="20"/>
                <w:lang w:val="ru-RU"/>
              </w:rPr>
              <w:br/>
              <w:t xml:space="preserve">Для российского банковского сектора наиболее существенным из всех видов риска в настоящее </w:t>
            </w:r>
            <w:r w:rsidRPr="000F4A6D">
              <w:rPr>
                <w:rFonts w:ascii="Arial" w:eastAsia="Times New Roman" w:hAnsi="Arial" w:cs="Arial"/>
                <w:color w:val="333467"/>
                <w:sz w:val="20"/>
                <w:szCs w:val="20"/>
                <w:lang w:val="ru-RU"/>
              </w:rPr>
              <w:lastRenderedPageBreak/>
              <w:t>время является кредитный. В связи с этим Банком России были приняты документы, регулирующие порядок управления данным видом риска. Одним из таких документов стало Положение «О порядке формирования кредитными организациями резервов на возможные потери по ссудам, по ссудной и приравненной к ней задолженности» от 26.03.04 г. № 254-П, после принятия которого, российские кредитные организации получили возможность разрабатывать внутренние методики оценки кредитоспособности организаций.</w:t>
            </w:r>
            <w:r w:rsidRPr="000F4A6D">
              <w:rPr>
                <w:rFonts w:ascii="Arial" w:eastAsia="Times New Roman" w:hAnsi="Arial" w:cs="Arial"/>
                <w:color w:val="333467"/>
                <w:sz w:val="20"/>
                <w:szCs w:val="20"/>
                <w:lang w:val="ru-RU"/>
              </w:rPr>
              <w:br/>
              <w:t>Сбербанком России была разработана методика оценки кредитоспособности заемщиков (юридических лиц): регламент предоставления кредитов юридическим лицам и индивидуальным предпринимателям Сбербанком РФ и его филиалами (утвержденный Комитетом по предоставлению кредитов и инвестиций Сбербанка России 30.06.06г., протокол № 322).</w:t>
            </w:r>
            <w:r w:rsidRPr="000F4A6D">
              <w:rPr>
                <w:rFonts w:ascii="Arial" w:eastAsia="Times New Roman" w:hAnsi="Arial" w:cs="Arial"/>
                <w:color w:val="333467"/>
                <w:sz w:val="20"/>
                <w:szCs w:val="20"/>
                <w:lang w:val="ru-RU"/>
              </w:rPr>
              <w:br/>
              <w:t>Для оценки кредитоспособности заемщика Сбербанком используются три группы оценочных показателей: коэффициенты ликвидности; коэффициент наличия собственных средств; показатели оборачиваемости и рентабельности.</w:t>
            </w:r>
            <w:r w:rsidRPr="000F4A6D">
              <w:rPr>
                <w:rFonts w:ascii="Arial" w:eastAsia="Times New Roman" w:hAnsi="Arial" w:cs="Arial"/>
                <w:color w:val="333467"/>
                <w:sz w:val="20"/>
                <w:szCs w:val="20"/>
                <w:lang w:val="ru-RU"/>
              </w:rPr>
              <w:br/>
              <w:t>1. Коэффициенты ликвидности. Позволяют проанализировать способность организации отвечать по своим текущим обязательствам.</w:t>
            </w:r>
            <w:r w:rsidRPr="000F4A6D">
              <w:rPr>
                <w:rFonts w:ascii="Arial" w:eastAsia="Times New Roman" w:hAnsi="Arial" w:cs="Arial"/>
                <w:color w:val="333467"/>
                <w:sz w:val="20"/>
                <w:szCs w:val="20"/>
                <w:lang w:val="ru-RU"/>
              </w:rPr>
              <w:br/>
              <w:t>Коэффициент абсолютной ликвидности К1 является наиболее жестким критерием ликвидности организации и показывает какая часть краткосрочных обязательств может быть при необходимости погашена за счет имеющихся денежных средств, средств на депозитных счетах и высоколиквидных краткосрочных ценных бумаг.</w:t>
            </w:r>
            <w:r w:rsidRPr="000F4A6D">
              <w:rPr>
                <w:rFonts w:ascii="Arial" w:eastAsia="Times New Roman" w:hAnsi="Arial" w:cs="Arial"/>
                <w:color w:val="333467"/>
                <w:sz w:val="20"/>
                <w:szCs w:val="20"/>
                <w:lang w:val="ru-RU"/>
              </w:rPr>
              <w:br/>
              <w:t>Промежуточный коэффициент покрытия (коэффициент быстрой ликвидности) К2 характеризует способность организации оперативно высвободить из хозяйственного оборота денежные средства и погасить долговые обязательства. К2 определяется как отношение суммы денежных средств, краткосрочных финансовых вложений и дебиторской задолженности к краткосрочным обязательствам.</w:t>
            </w:r>
            <w:r w:rsidRPr="000F4A6D">
              <w:rPr>
                <w:rFonts w:ascii="Arial" w:eastAsia="Times New Roman" w:hAnsi="Arial" w:cs="Arial"/>
                <w:color w:val="333467"/>
                <w:sz w:val="20"/>
                <w:szCs w:val="20"/>
                <w:lang w:val="ru-RU"/>
              </w:rPr>
              <w:br/>
              <w:t>Коэффициент текущей ликвидности (общий коэффициент покрытия) КЗ дает общую оценку ликвидности организации, в расчет которого в числителе включаются все оборотные активы, в том числе и материальные. Он рассчитывается как отношение суммы оборотных активов к сумме краткосрочных обязательств без доходов будущих периодов и резервов предстоящих расходов.</w:t>
            </w:r>
            <w:r w:rsidRPr="000F4A6D">
              <w:rPr>
                <w:rFonts w:ascii="Arial" w:eastAsia="Times New Roman" w:hAnsi="Arial" w:cs="Arial"/>
                <w:color w:val="333467"/>
                <w:sz w:val="20"/>
                <w:szCs w:val="20"/>
                <w:lang w:val="ru-RU"/>
              </w:rPr>
              <w:br/>
              <w:t>2. Коэффициент наличия собственных средств К4. Показывает долю собственных средств организации в общем объеме средств организации и определяется как отношение собственных средств, увеличенных на доходы будущих периодов и резервы предстоящих расходов ко всей сумме средств организации.</w:t>
            </w:r>
            <w:r w:rsidRPr="000F4A6D">
              <w:rPr>
                <w:rFonts w:ascii="Arial" w:eastAsia="Times New Roman" w:hAnsi="Arial" w:cs="Arial"/>
                <w:color w:val="333467"/>
                <w:sz w:val="20"/>
                <w:szCs w:val="20"/>
                <w:lang w:val="ru-RU"/>
              </w:rPr>
              <w:br/>
              <w:t>3. Показатели оборачиваемости и рентабельности. Оборачиваемость разных элементов оборотных активов и кредиторской задолженности рассчитывается в днях исходя из объема дневных продаж (однодневной выручки от реализации). Объем дневных продаж рассчитывается делением выручки от реализации на число дней в периоде (90, 180, 270 или 360).</w:t>
            </w:r>
            <w:r w:rsidRPr="000F4A6D">
              <w:rPr>
                <w:rFonts w:ascii="Arial" w:eastAsia="Times New Roman" w:hAnsi="Arial" w:cs="Arial"/>
                <w:color w:val="333467"/>
                <w:sz w:val="20"/>
                <w:szCs w:val="20"/>
                <w:lang w:val="ru-RU"/>
              </w:rPr>
              <w:br/>
              <w:t>Оборачиваемость оборотных активов определяется отношением средней стоимости оборотных активов к объему дневных продаж.</w:t>
            </w:r>
            <w:r w:rsidRPr="000F4A6D">
              <w:rPr>
                <w:rFonts w:ascii="Arial" w:eastAsia="Times New Roman" w:hAnsi="Arial" w:cs="Arial"/>
                <w:color w:val="333467"/>
                <w:sz w:val="20"/>
                <w:szCs w:val="20"/>
                <w:lang w:val="ru-RU"/>
              </w:rPr>
              <w:br/>
              <w:t>Оборачиваемость дебиторской задолженности определяется отношением средней стоимости дебиторской задолженности к объему дневных продаж.</w:t>
            </w:r>
            <w:r w:rsidRPr="000F4A6D">
              <w:rPr>
                <w:rFonts w:ascii="Arial" w:eastAsia="Times New Roman" w:hAnsi="Arial" w:cs="Arial"/>
                <w:color w:val="333467"/>
                <w:sz w:val="20"/>
                <w:szCs w:val="20"/>
                <w:lang w:val="ru-RU"/>
              </w:rPr>
              <w:br/>
              <w:t>Оборачиваемость запасов определяется как отношение средней стоимости запасов к объему дневных продаж.</w:t>
            </w:r>
            <w:r w:rsidRPr="000F4A6D">
              <w:rPr>
                <w:rFonts w:ascii="Arial" w:eastAsia="Times New Roman" w:hAnsi="Arial" w:cs="Arial"/>
                <w:color w:val="333467"/>
                <w:sz w:val="20"/>
                <w:szCs w:val="20"/>
                <w:lang w:val="ru-RU"/>
              </w:rPr>
              <w:br/>
              <w:t>Показатели рентабельности определяются в процентах или долях.</w:t>
            </w:r>
            <w:r w:rsidRPr="000F4A6D">
              <w:rPr>
                <w:rFonts w:ascii="Arial" w:eastAsia="Times New Roman" w:hAnsi="Arial" w:cs="Arial"/>
                <w:color w:val="333467"/>
                <w:sz w:val="20"/>
                <w:szCs w:val="20"/>
                <w:lang w:val="ru-RU"/>
              </w:rPr>
              <w:br/>
              <w:t xml:space="preserve">Рентабельность продукции (рентабельность продаж) </w:t>
            </w:r>
            <w:r w:rsidRPr="000F4A6D">
              <w:rPr>
                <w:rFonts w:ascii="Arial" w:eastAsia="Times New Roman" w:hAnsi="Arial" w:cs="Arial"/>
                <w:color w:val="333467"/>
                <w:sz w:val="20"/>
                <w:szCs w:val="20"/>
              </w:rPr>
              <w:t>K</w:t>
            </w:r>
            <w:r w:rsidRPr="000F4A6D">
              <w:rPr>
                <w:rFonts w:ascii="Arial" w:eastAsia="Times New Roman" w:hAnsi="Arial" w:cs="Arial"/>
                <w:color w:val="333467"/>
                <w:sz w:val="20"/>
                <w:szCs w:val="20"/>
                <w:lang w:val="ru-RU"/>
              </w:rPr>
              <w:t>5 определяется как отношение суммы прибыли от продаж к сумме выручки от реализации за минусом НДС, акцизов и аналогичных платежей.</w:t>
            </w:r>
            <w:r w:rsidRPr="000F4A6D">
              <w:rPr>
                <w:rFonts w:ascii="Arial" w:eastAsia="Times New Roman" w:hAnsi="Arial" w:cs="Arial"/>
                <w:color w:val="333467"/>
                <w:sz w:val="20"/>
                <w:szCs w:val="20"/>
                <w:lang w:val="ru-RU"/>
              </w:rPr>
              <w:br/>
              <w:t xml:space="preserve">Рентабельность деятельности организации </w:t>
            </w:r>
            <w:r w:rsidRPr="000F4A6D">
              <w:rPr>
                <w:rFonts w:ascii="Arial" w:eastAsia="Times New Roman" w:hAnsi="Arial" w:cs="Arial"/>
                <w:color w:val="333467"/>
                <w:sz w:val="20"/>
                <w:szCs w:val="20"/>
              </w:rPr>
              <w:t>K</w:t>
            </w:r>
            <w:r w:rsidRPr="000F4A6D">
              <w:rPr>
                <w:rFonts w:ascii="Arial" w:eastAsia="Times New Roman" w:hAnsi="Arial" w:cs="Arial"/>
                <w:color w:val="333467"/>
                <w:sz w:val="20"/>
                <w:szCs w:val="20"/>
                <w:lang w:val="ru-RU"/>
              </w:rPr>
              <w:t>6 определяется как отношение чистой прибыли к сумме выручки от реализации за минусом НДС, акцизов и аналогичных платежей.</w:t>
            </w:r>
            <w:r w:rsidRPr="000F4A6D">
              <w:rPr>
                <w:rFonts w:ascii="Arial" w:eastAsia="Times New Roman" w:hAnsi="Arial" w:cs="Arial"/>
                <w:color w:val="333467"/>
                <w:sz w:val="20"/>
                <w:szCs w:val="20"/>
                <w:lang w:val="ru-RU"/>
              </w:rPr>
              <w:br/>
              <w:t>Рентабельность вложений в предприятие определяется как отношение балансовой прибыли ко всей сумме средств организации.</w:t>
            </w:r>
            <w:r w:rsidRPr="000F4A6D">
              <w:rPr>
                <w:rFonts w:ascii="Arial" w:eastAsia="Times New Roman" w:hAnsi="Arial" w:cs="Arial"/>
                <w:color w:val="333467"/>
                <w:sz w:val="20"/>
                <w:szCs w:val="20"/>
                <w:lang w:val="ru-RU"/>
              </w:rPr>
              <w:br/>
              <w:t>Основными оценочными показателями являются коэффициенты К1, К2, КЗ, К4, К5 и К6. Другие показатели оборачиваемости и рентабельности используются для общей характеристики и рассматриваются как дополнительные к первым шести показателям.</w:t>
            </w:r>
            <w:r w:rsidRPr="000F4A6D">
              <w:rPr>
                <w:rFonts w:ascii="Arial" w:eastAsia="Times New Roman" w:hAnsi="Arial" w:cs="Arial"/>
                <w:color w:val="333467"/>
                <w:sz w:val="20"/>
                <w:szCs w:val="20"/>
                <w:lang w:val="ru-RU"/>
              </w:rPr>
              <w:br/>
              <w:t>Оценка результатов расчетов шести коэффициентов заключается в присвоении категории по каждому из этих показателей на основе сравнения полученных значений с ранее установленными как достаточными. Далее определяется сумма баллов по этим показателям в соответствии с их весами по формуле:</w:t>
            </w:r>
            <w:r w:rsidRPr="000F4A6D">
              <w:rPr>
                <w:rFonts w:ascii="Arial" w:eastAsia="Times New Roman" w:hAnsi="Arial" w:cs="Arial"/>
                <w:color w:val="333467"/>
                <w:sz w:val="20"/>
                <w:szCs w:val="20"/>
                <w:lang w:val="ru-RU"/>
              </w:rPr>
              <w:br/>
            </w:r>
            <w:r w:rsidRPr="000F4A6D">
              <w:rPr>
                <w:rFonts w:ascii="Arial" w:eastAsia="Times New Roman" w:hAnsi="Arial" w:cs="Arial"/>
                <w:color w:val="333467"/>
                <w:sz w:val="20"/>
                <w:szCs w:val="20"/>
              </w:rPr>
              <w:lastRenderedPageBreak/>
              <w:t>S</w:t>
            </w:r>
            <w:r w:rsidRPr="000F4A6D">
              <w:rPr>
                <w:rFonts w:ascii="Arial" w:eastAsia="Times New Roman" w:hAnsi="Arial" w:cs="Arial"/>
                <w:color w:val="333467"/>
                <w:sz w:val="20"/>
                <w:szCs w:val="20"/>
                <w:lang w:val="ru-RU"/>
              </w:rPr>
              <w:t xml:space="preserve"> = 0,05 * К1 + 0,10 * К К2 + 0,40 * КЗ + 0,20 * К4 +</w:t>
            </w:r>
            <w:r w:rsidRPr="000F4A6D">
              <w:rPr>
                <w:rFonts w:ascii="Arial" w:eastAsia="Times New Roman" w:hAnsi="Arial" w:cs="Arial"/>
                <w:color w:val="333467"/>
                <w:sz w:val="20"/>
                <w:szCs w:val="20"/>
                <w:lang w:val="ru-RU"/>
              </w:rPr>
              <w:br/>
              <w:t>+ 0,15 * К5 + 0,10 * К6. (1)</w:t>
            </w:r>
            <w:r w:rsidRPr="000F4A6D">
              <w:rPr>
                <w:rFonts w:ascii="Arial" w:eastAsia="Times New Roman" w:hAnsi="Arial" w:cs="Arial"/>
                <w:color w:val="333467"/>
                <w:sz w:val="20"/>
                <w:szCs w:val="20"/>
                <w:lang w:val="ru-RU"/>
              </w:rPr>
              <w:br/>
              <w:t xml:space="preserve">Класс кредитоспособности определяется на основе суммы баллов по шести основным показателям, оценки остальных показателей третьей группы и качественного анализа рисков. Сумма баллов </w:t>
            </w:r>
            <w:r w:rsidRPr="000F4A6D">
              <w:rPr>
                <w:rFonts w:ascii="Arial" w:eastAsia="Times New Roman" w:hAnsi="Arial" w:cs="Arial"/>
                <w:color w:val="333467"/>
                <w:sz w:val="20"/>
                <w:szCs w:val="20"/>
              </w:rPr>
              <w:t>S</w:t>
            </w:r>
            <w:r w:rsidRPr="000F4A6D">
              <w:rPr>
                <w:rFonts w:ascii="Arial" w:eastAsia="Times New Roman" w:hAnsi="Arial" w:cs="Arial"/>
                <w:color w:val="333467"/>
                <w:sz w:val="20"/>
                <w:szCs w:val="20"/>
                <w:lang w:val="ru-RU"/>
              </w:rPr>
              <w:t xml:space="preserve"> влияет на класс кредитоспособности следующим образом: 1класс кредитоспособности (кредитование не вызывает сомнений): </w:t>
            </w:r>
            <w:r w:rsidRPr="000F4A6D">
              <w:rPr>
                <w:rFonts w:ascii="Arial" w:eastAsia="Times New Roman" w:hAnsi="Arial" w:cs="Arial"/>
                <w:color w:val="333467"/>
                <w:sz w:val="20"/>
                <w:szCs w:val="20"/>
              </w:rPr>
              <w:t>S</w:t>
            </w:r>
            <w:r w:rsidRPr="000F4A6D">
              <w:rPr>
                <w:rFonts w:ascii="Arial" w:eastAsia="Times New Roman" w:hAnsi="Arial" w:cs="Arial"/>
                <w:color w:val="333467"/>
                <w:sz w:val="20"/>
                <w:szCs w:val="20"/>
                <w:lang w:val="ru-RU"/>
              </w:rPr>
              <w:t xml:space="preserve"> = 1.25 и менее; 2 класс кредитоспособности (кредитование требует взвешенного подхода): значение </w:t>
            </w:r>
            <w:r w:rsidRPr="000F4A6D">
              <w:rPr>
                <w:rFonts w:ascii="Arial" w:eastAsia="Times New Roman" w:hAnsi="Arial" w:cs="Arial"/>
                <w:color w:val="333467"/>
                <w:sz w:val="20"/>
                <w:szCs w:val="20"/>
              </w:rPr>
              <w:t>S</w:t>
            </w:r>
            <w:r w:rsidRPr="000F4A6D">
              <w:rPr>
                <w:rFonts w:ascii="Arial" w:eastAsia="Times New Roman" w:hAnsi="Arial" w:cs="Arial"/>
                <w:color w:val="333467"/>
                <w:sz w:val="20"/>
                <w:szCs w:val="20"/>
                <w:lang w:val="ru-RU"/>
              </w:rPr>
              <w:t xml:space="preserve"> находится в диапазоне от 1,25 до 2,35; 3 класс кредитоспособности (кредитование связано с повышенным риском): значение </w:t>
            </w:r>
            <w:r w:rsidRPr="000F4A6D">
              <w:rPr>
                <w:rFonts w:ascii="Arial" w:eastAsia="Times New Roman" w:hAnsi="Arial" w:cs="Arial"/>
                <w:color w:val="333467"/>
                <w:sz w:val="20"/>
                <w:szCs w:val="20"/>
              </w:rPr>
              <w:t>S</w:t>
            </w:r>
            <w:r w:rsidRPr="000F4A6D">
              <w:rPr>
                <w:rFonts w:ascii="Arial" w:eastAsia="Times New Roman" w:hAnsi="Arial" w:cs="Arial"/>
                <w:color w:val="333467"/>
                <w:sz w:val="20"/>
                <w:szCs w:val="20"/>
                <w:lang w:val="ru-RU"/>
              </w:rPr>
              <w:t xml:space="preserve"> больше 2,35.</w:t>
            </w:r>
            <w:r w:rsidRPr="000F4A6D">
              <w:rPr>
                <w:rFonts w:ascii="Arial" w:eastAsia="Times New Roman" w:hAnsi="Arial" w:cs="Arial"/>
                <w:color w:val="333467"/>
                <w:sz w:val="20"/>
                <w:szCs w:val="20"/>
                <w:lang w:val="ru-RU"/>
              </w:rPr>
              <w:br/>
              <w:t>В качестве объекта исследования выступили 327 сельскохозяйственных организаций (в 2007 г. — 350 сельхозорганизаций) Омской области, входящие по административно-территориальному делению в состав 32 районов, которые разбиты на 4 природно-хозяйственные зоны: степная (9 районов; 91 организации); южная лесостепь (8 районов, 85 организаций); северная лесостепь (9 районов, 94 организаций); северная (6 районов, 57 организаций).</w:t>
            </w:r>
            <w:r w:rsidRPr="000F4A6D">
              <w:rPr>
                <w:rFonts w:ascii="Arial" w:eastAsia="Times New Roman" w:hAnsi="Arial" w:cs="Arial"/>
                <w:color w:val="333467"/>
                <w:sz w:val="20"/>
                <w:szCs w:val="20"/>
                <w:lang w:val="ru-RU"/>
              </w:rPr>
              <w:br/>
              <w:t>Для моделирования были использованы показатели годовой бухгалтерской отчетности всех сельскохозяйственных организаций Омской области за 2005–2007 гг. Были рассчитаны 6 основных коэффициентов, предусмотренных методикой Сбербанка.</w:t>
            </w:r>
            <w:r w:rsidRPr="000F4A6D">
              <w:rPr>
                <w:rFonts w:ascii="Arial" w:eastAsia="Times New Roman" w:hAnsi="Arial" w:cs="Arial"/>
                <w:color w:val="333467"/>
                <w:sz w:val="20"/>
                <w:szCs w:val="20"/>
                <w:lang w:val="ru-RU"/>
              </w:rPr>
              <w:br/>
              <w:t>Применив метод подстановки данных, определили экспериментальным путем границы классов в баллах по 100-бальной системе, взяв за основу Методику расчета показателей финансового состояния сельскохозяйственных производителей (Постановление Правительства РФ от 30 января 2003 г. № 52). По результатам исследований получено, что: 1 класс кредитоспособности — от 100 до 69 баллов (не включительно); 2 класс кредитоспособности — от 69 до 26 баллов (включительно); 3 класс кредитоспособности — ниже 26 баллов.</w:t>
            </w:r>
            <w:r w:rsidRPr="000F4A6D">
              <w:rPr>
                <w:rFonts w:ascii="Arial" w:eastAsia="Times New Roman" w:hAnsi="Arial" w:cs="Arial"/>
                <w:color w:val="333467"/>
                <w:sz w:val="20"/>
                <w:szCs w:val="20"/>
                <w:lang w:val="ru-RU"/>
              </w:rPr>
              <w:br/>
              <w:t>Проведение анализа финансового состояния организации, определение значимых факторов, оказывающих влияние на уровень кредитоспособности, позволяет кредитным организациям правильно определить возможность кредитования конкретной организации, а самой организации дает возможность управлять этими факторами для увеличения возможности получения кредита в банке. Это подтверждает практическую значимость эконометрики, основанной на многомерных статистических исследованиях.</w:t>
            </w:r>
            <w:r w:rsidRPr="000F4A6D">
              <w:rPr>
                <w:rFonts w:ascii="Arial" w:eastAsia="Times New Roman" w:hAnsi="Arial" w:cs="Arial"/>
                <w:color w:val="333467"/>
                <w:sz w:val="20"/>
                <w:szCs w:val="20"/>
                <w:lang w:val="ru-RU"/>
              </w:rPr>
              <w:br/>
              <w:t>Для того, чтобы построить уравнение регрессии необходимо сформировать исходную матрицу. Данные в матрицах формируются по годам, природно-хозяйственным зонам и в целом по Омской области. Для исследования использовались данные годовых отчетов сельскохозяйст</w:t>
            </w:r>
            <w:r w:rsidRPr="000F4A6D">
              <w:rPr>
                <w:rFonts w:ascii="Arial" w:eastAsia="Times New Roman" w:hAnsi="Arial" w:cs="Arial"/>
                <w:color w:val="333467"/>
                <w:sz w:val="20"/>
                <w:szCs w:val="20"/>
                <w:lang w:val="ru-RU"/>
              </w:rPr>
              <w:softHyphen/>
              <w:t>венных организаций Омской области за 2005–2007 гг. После ввода данных, представленных в матрице, получена следующая информация. В табл. 1 представлены общие результаты оценки шестифакторной регрессионной модели, построенной на основании данных в целом по Омской области за 2007 год.</w:t>
            </w:r>
            <w:r w:rsidRPr="000F4A6D">
              <w:rPr>
                <w:rFonts w:ascii="Arial" w:eastAsia="Times New Roman" w:hAnsi="Arial" w:cs="Arial"/>
                <w:color w:val="333467"/>
                <w:sz w:val="20"/>
                <w:szCs w:val="20"/>
                <w:lang w:val="ru-RU"/>
              </w:rPr>
              <w:br/>
              <w:t xml:space="preserve">Приводятся следующие характеристики построенного уравнения регрессии: </w:t>
            </w:r>
            <w:r w:rsidRPr="000F4A6D">
              <w:rPr>
                <w:rFonts w:ascii="Arial" w:eastAsia="Times New Roman" w:hAnsi="Arial" w:cs="Arial"/>
                <w:color w:val="333467"/>
                <w:sz w:val="20"/>
                <w:szCs w:val="20"/>
              </w:rPr>
              <w:t>R</w:t>
            </w:r>
            <w:r w:rsidRPr="000F4A6D">
              <w:rPr>
                <w:rFonts w:ascii="Arial" w:eastAsia="Times New Roman" w:hAnsi="Arial" w:cs="Arial"/>
                <w:color w:val="333467"/>
                <w:sz w:val="20"/>
                <w:szCs w:val="20"/>
                <w:lang w:val="ru-RU"/>
              </w:rPr>
              <w:t xml:space="preserve"> — значение выборочного коэффициента корреляции; </w:t>
            </w:r>
            <w:r w:rsidRPr="000F4A6D">
              <w:rPr>
                <w:rFonts w:ascii="Arial" w:eastAsia="Times New Roman" w:hAnsi="Arial" w:cs="Arial"/>
                <w:color w:val="333467"/>
                <w:sz w:val="20"/>
                <w:szCs w:val="20"/>
              </w:rPr>
              <w:t>R</w:t>
            </w:r>
            <w:r w:rsidRPr="000F4A6D">
              <w:rPr>
                <w:rFonts w:ascii="Arial" w:eastAsia="Times New Roman" w:hAnsi="Arial" w:cs="Arial"/>
                <w:color w:val="333467"/>
                <w:sz w:val="20"/>
                <w:szCs w:val="20"/>
                <w:lang w:val="ru-RU"/>
              </w:rPr>
              <w:t xml:space="preserve">2 — значение коэффициента детерминации (его величина показывает, какая доля обшей вариации зависимой переменной объясняется построенной регрессией); </w:t>
            </w:r>
            <w:r w:rsidRPr="000F4A6D">
              <w:rPr>
                <w:rFonts w:ascii="Arial" w:eastAsia="Times New Roman" w:hAnsi="Arial" w:cs="Arial"/>
                <w:color w:val="333467"/>
                <w:sz w:val="20"/>
                <w:szCs w:val="20"/>
              </w:rPr>
              <w:t>Adjusted</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R</w:t>
            </w:r>
            <w:r w:rsidRPr="000F4A6D">
              <w:rPr>
                <w:rFonts w:ascii="Arial" w:eastAsia="Times New Roman" w:hAnsi="Arial" w:cs="Arial"/>
                <w:color w:val="333467"/>
                <w:sz w:val="20"/>
                <w:szCs w:val="20"/>
                <w:lang w:val="ru-RU"/>
              </w:rPr>
              <w:t xml:space="preserve">2 — значение скорректированного на число степеней свободы коэффициента детерминации; </w:t>
            </w:r>
            <w:r w:rsidRPr="000F4A6D">
              <w:rPr>
                <w:rFonts w:ascii="Arial" w:eastAsia="Times New Roman" w:hAnsi="Arial" w:cs="Arial"/>
                <w:color w:val="333467"/>
                <w:sz w:val="20"/>
                <w:szCs w:val="20"/>
              </w:rPr>
              <w:t>F</w:t>
            </w:r>
            <w:r w:rsidRPr="000F4A6D">
              <w:rPr>
                <w:rFonts w:ascii="Arial" w:eastAsia="Times New Roman" w:hAnsi="Arial" w:cs="Arial"/>
                <w:color w:val="333467"/>
                <w:sz w:val="20"/>
                <w:szCs w:val="20"/>
                <w:lang w:val="ru-RU"/>
              </w:rPr>
              <w:t xml:space="preserve"> — расчетное значение критерия Фишера, используемое для проверки гипотезы о значимости уравнения регрессии, р — величина уровня значимости; </w:t>
            </w:r>
            <w:r w:rsidRPr="000F4A6D">
              <w:rPr>
                <w:rFonts w:ascii="Arial" w:eastAsia="Times New Roman" w:hAnsi="Arial" w:cs="Arial"/>
                <w:color w:val="333467"/>
                <w:sz w:val="20"/>
                <w:szCs w:val="20"/>
              </w:rPr>
              <w:t>Std</w:t>
            </w:r>
            <w:r w:rsidRPr="000F4A6D">
              <w:rPr>
                <w:rFonts w:ascii="Arial" w:eastAsia="Times New Roman" w:hAnsi="Arial" w:cs="Arial"/>
                <w:color w:val="333467"/>
                <w:sz w:val="20"/>
                <w:szCs w:val="20"/>
                <w:lang w:val="ru-RU"/>
              </w:rPr>
              <w:t>. Е</w:t>
            </w:r>
            <w:proofErr w:type="spellStart"/>
            <w:r w:rsidRPr="000F4A6D">
              <w:rPr>
                <w:rFonts w:ascii="Arial" w:eastAsia="Times New Roman" w:hAnsi="Arial" w:cs="Arial"/>
                <w:color w:val="333467"/>
                <w:sz w:val="20"/>
                <w:szCs w:val="20"/>
              </w:rPr>
              <w:t>rror</w:t>
            </w:r>
            <w:proofErr w:type="spellEnd"/>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of</w:t>
            </w:r>
            <w:r w:rsidRPr="000F4A6D">
              <w:rPr>
                <w:rFonts w:ascii="Arial" w:eastAsia="Times New Roman" w:hAnsi="Arial" w:cs="Arial"/>
                <w:color w:val="333467"/>
                <w:sz w:val="20"/>
                <w:szCs w:val="20"/>
                <w:lang w:val="ru-RU"/>
              </w:rPr>
              <w:t xml:space="preserve"> </w:t>
            </w:r>
            <w:r w:rsidRPr="000F4A6D">
              <w:rPr>
                <w:rFonts w:ascii="Arial" w:eastAsia="Times New Roman" w:hAnsi="Arial" w:cs="Arial"/>
                <w:color w:val="333467"/>
                <w:sz w:val="20"/>
                <w:szCs w:val="20"/>
              </w:rPr>
              <w:t>estimate</w:t>
            </w:r>
            <w:r w:rsidRPr="000F4A6D">
              <w:rPr>
                <w:rFonts w:ascii="Arial" w:eastAsia="Times New Roman" w:hAnsi="Arial" w:cs="Arial"/>
                <w:color w:val="333467"/>
                <w:sz w:val="20"/>
                <w:szCs w:val="20"/>
                <w:lang w:val="ru-RU"/>
              </w:rPr>
              <w:t xml:space="preserve"> — стандартная ошибка оценки уравнения регрессии.</w:t>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lang w:val="ru-RU"/>
              </w:rPr>
            </w:pP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rPr>
            </w:pPr>
            <w:r w:rsidRPr="000F4A6D">
              <w:rPr>
                <w:rFonts w:ascii="Arial" w:eastAsia="Times New Roman" w:hAnsi="Arial" w:cs="Arial"/>
                <w:b/>
                <w:bCs/>
                <w:color w:val="333467"/>
                <w:sz w:val="20"/>
                <w:szCs w:val="20"/>
                <w:lang w:val="ru-RU"/>
              </w:rPr>
              <w:t>Таблица 1</w:t>
            </w:r>
            <w:r w:rsidRPr="000F4A6D">
              <w:rPr>
                <w:rFonts w:ascii="Arial" w:eastAsia="Times New Roman" w:hAnsi="Arial" w:cs="Arial"/>
                <w:b/>
                <w:bCs/>
                <w:color w:val="333467"/>
                <w:sz w:val="20"/>
                <w:szCs w:val="20"/>
                <w:lang w:val="ru-RU"/>
              </w:rPr>
              <w:br/>
              <w:t>Общие результаты оценки регрессионной модели для Омской области за 2007 г.</w:t>
            </w:r>
            <w:r w:rsidRPr="000F4A6D">
              <w:rPr>
                <w:rFonts w:ascii="Arial" w:eastAsia="Times New Roman" w:hAnsi="Arial" w:cs="Arial"/>
                <w:b/>
                <w:bCs/>
                <w:color w:val="333467"/>
                <w:sz w:val="20"/>
                <w:szCs w:val="20"/>
                <w:lang w:val="ru-RU"/>
              </w:rPr>
              <w:br/>
            </w:r>
            <w:r w:rsidRPr="000F4A6D">
              <w:rPr>
                <w:rFonts w:ascii="Arial" w:eastAsia="Times New Roman" w:hAnsi="Arial" w:cs="Arial"/>
                <w:b/>
                <w:bCs/>
                <w:color w:val="333467"/>
                <w:sz w:val="20"/>
                <w:szCs w:val="20"/>
                <w:lang w:val="ru-RU"/>
              </w:rPr>
              <w:br/>
            </w:r>
            <w:r w:rsidRPr="000F4A6D">
              <w:rPr>
                <w:rFonts w:ascii="Arial" w:eastAsia="Times New Roman" w:hAnsi="Arial" w:cs="Arial"/>
                <w:b/>
                <w:bCs/>
                <w:color w:val="333467"/>
                <w:sz w:val="20"/>
                <w:szCs w:val="20"/>
              </w:rPr>
              <w:t>Regression Summary for Dependent Variable: В (СБ2007-область)</w:t>
            </w:r>
            <w:r w:rsidRPr="000F4A6D">
              <w:rPr>
                <w:rFonts w:ascii="Arial" w:eastAsia="Times New Roman" w:hAnsi="Arial" w:cs="Arial"/>
                <w:b/>
                <w:bCs/>
                <w:color w:val="333467"/>
                <w:sz w:val="20"/>
                <w:szCs w:val="20"/>
              </w:rPr>
              <w:br/>
            </w:r>
            <w:r w:rsidRPr="000F4A6D">
              <w:rPr>
                <w:rFonts w:ascii="Arial" w:eastAsia="Times New Roman" w:hAnsi="Arial" w:cs="Arial"/>
                <w:b/>
                <w:bCs/>
                <w:color w:val="333467"/>
                <w:sz w:val="20"/>
                <w:szCs w:val="20"/>
              </w:rPr>
              <w:br/>
              <w:t>R= ,92730491 R?= ,81984902 Adjusted R?= ,81319915</w:t>
            </w:r>
            <w:r w:rsidRPr="000F4A6D">
              <w:rPr>
                <w:rFonts w:ascii="Arial" w:eastAsia="Times New Roman" w:hAnsi="Arial" w:cs="Arial"/>
                <w:b/>
                <w:bCs/>
                <w:color w:val="333467"/>
                <w:sz w:val="20"/>
                <w:szCs w:val="20"/>
              </w:rPr>
              <w:br/>
            </w:r>
            <w:r w:rsidRPr="000F4A6D">
              <w:rPr>
                <w:rFonts w:ascii="Arial" w:eastAsia="Times New Roman" w:hAnsi="Arial" w:cs="Arial"/>
                <w:b/>
                <w:bCs/>
                <w:color w:val="333467"/>
                <w:sz w:val="20"/>
                <w:szCs w:val="20"/>
              </w:rPr>
              <w:br/>
              <w:t xml:space="preserve">F(6,343)=93,212 p&lt;0,0000 </w:t>
            </w:r>
            <w:proofErr w:type="spellStart"/>
            <w:r w:rsidRPr="000F4A6D">
              <w:rPr>
                <w:rFonts w:ascii="Arial" w:eastAsia="Times New Roman" w:hAnsi="Arial" w:cs="Arial"/>
                <w:b/>
                <w:bCs/>
                <w:color w:val="333467"/>
                <w:sz w:val="20"/>
                <w:szCs w:val="20"/>
              </w:rPr>
              <w:t>Std.Error</w:t>
            </w:r>
            <w:proofErr w:type="spellEnd"/>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rPr>
            </w:pPr>
            <w:r w:rsidRPr="000F4A6D">
              <w:rPr>
                <w:rFonts w:ascii="Arial" w:eastAsia="Times New Roman" w:hAnsi="Arial" w:cs="Arial"/>
                <w:noProof/>
                <w:color w:val="333467"/>
                <w:sz w:val="20"/>
                <w:szCs w:val="20"/>
              </w:rPr>
              <w:lastRenderedPageBreak/>
              <w:drawing>
                <wp:inline distT="0" distB="0" distL="0" distR="0" wp14:anchorId="3F91BB0E" wp14:editId="478BFAB1">
                  <wp:extent cx="6678295" cy="1409700"/>
                  <wp:effectExtent l="0" t="0" r="8255" b="0"/>
                  <wp:docPr id="1" name="Рисунок 1" descr="https://m-economy.ru/ftp_images/arts/29/29_09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conomy.ru/ftp_images/arts/29/29_09_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8295" cy="1409700"/>
                          </a:xfrm>
                          <a:prstGeom prst="rect">
                            <a:avLst/>
                          </a:prstGeom>
                          <a:noFill/>
                          <a:ln>
                            <a:noFill/>
                          </a:ln>
                        </pic:spPr>
                      </pic:pic>
                    </a:graphicData>
                  </a:graphic>
                </wp:inline>
              </w:drawing>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lang w:val="ru-RU"/>
              </w:rPr>
            </w:pPr>
            <w:r w:rsidRPr="000F4A6D">
              <w:rPr>
                <w:rFonts w:ascii="Arial" w:eastAsia="Times New Roman" w:hAnsi="Arial" w:cs="Arial"/>
                <w:color w:val="333467"/>
                <w:sz w:val="20"/>
                <w:szCs w:val="20"/>
                <w:lang w:val="ru-RU"/>
              </w:rPr>
              <w:t>где К1 — коэффициент абсолютной ликвидности; К 2 — промежуточный коэффициент покрытия; К 3 — коэффициент текущей ликвидности; К 4 — коэффициент наличия собственных средств; К 5 — рентабельность продаж; К 6 — рентабельность деятельности организации.</w:t>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rPr>
            </w:pPr>
            <w:r w:rsidRPr="000F4A6D">
              <w:rPr>
                <w:rFonts w:ascii="Arial" w:eastAsia="Times New Roman" w:hAnsi="Arial" w:cs="Arial"/>
                <w:color w:val="333467"/>
                <w:sz w:val="20"/>
                <w:szCs w:val="20"/>
                <w:lang w:val="ru-RU"/>
              </w:rPr>
              <w:br/>
              <w:t>Коэффициент корреляции в 2007 году равен — 0,9273, что свидетельствует о весьма высокой тесноте связи между степенью кредитоспособности и включенными в модель факторами. Коэффициент детерминации равен 0,8132. Это означает, что построенное уравнение регрессии примерно на 81% воспроизводит зависимость В от факторов (К1 — К6), т. е. результативный показатель на 81% зависит от этих факторов. Остальные 19% приходятся на долю случайных и неучтенных факторов. Расчетная величина критерия Фишера при степенях свободы (6,343) равна 93,212, что выше его табличного (теоретического) значения для доверительной вероятно</w:t>
            </w:r>
            <w:r w:rsidRPr="000F4A6D">
              <w:rPr>
                <w:rFonts w:ascii="Arial" w:eastAsia="Times New Roman" w:hAnsi="Arial" w:cs="Arial"/>
                <w:color w:val="333467"/>
                <w:sz w:val="20"/>
                <w:szCs w:val="20"/>
                <w:lang w:val="ru-RU"/>
              </w:rPr>
              <w:softHyphen/>
              <w:t>сти Р = (1 — 0,05) = 0,95, что в свою очередь соответствует уровню значимости р менее 0,0000. Следовательно, полученное уравнение регрессии является значимым, а не результатом случайного отбора наблюдений.</w:t>
            </w:r>
            <w:r w:rsidRPr="000F4A6D">
              <w:rPr>
                <w:rFonts w:ascii="Arial" w:eastAsia="Times New Roman" w:hAnsi="Arial" w:cs="Arial"/>
                <w:color w:val="333467"/>
                <w:sz w:val="20"/>
                <w:szCs w:val="20"/>
                <w:lang w:val="ru-RU"/>
              </w:rPr>
              <w:br/>
              <w:t>По результатам анализа хозяйств в целом по Омской области в разрезе природно-хозяйственных зон были получены следующие регрессионные уравнения по данным 2007 года:</w:t>
            </w:r>
            <w:r w:rsidRPr="000F4A6D">
              <w:rPr>
                <w:rFonts w:ascii="Arial" w:eastAsia="Times New Roman" w:hAnsi="Arial" w:cs="Arial"/>
                <w:color w:val="333467"/>
                <w:sz w:val="20"/>
                <w:szCs w:val="20"/>
                <w:lang w:val="ru-RU"/>
              </w:rPr>
              <w:br/>
              <w:t>Область: В = 28,88 + 0,27К1 — 0,05К2 + 0,22К3 + 38,21К4 — 2,39К5 + 0,35К6</w:t>
            </w:r>
            <w:r w:rsidRPr="000F4A6D">
              <w:rPr>
                <w:rFonts w:ascii="Arial" w:eastAsia="Times New Roman" w:hAnsi="Arial" w:cs="Arial"/>
                <w:color w:val="333467"/>
                <w:sz w:val="20"/>
                <w:szCs w:val="20"/>
                <w:lang w:val="ru-RU"/>
              </w:rPr>
              <w:br/>
              <w:t>Степная зона: В = 7,30 — 2,96К1 + 0,22К2 + 0,55К3 + 70,84К4 — 6,82К5 + 10,64К6</w:t>
            </w:r>
            <w:r w:rsidRPr="000F4A6D">
              <w:rPr>
                <w:rFonts w:ascii="Arial" w:eastAsia="Times New Roman" w:hAnsi="Arial" w:cs="Arial"/>
                <w:color w:val="333467"/>
                <w:sz w:val="20"/>
                <w:szCs w:val="20"/>
                <w:lang w:val="ru-RU"/>
              </w:rPr>
              <w:br/>
              <w:t>Южная лесостепь:</w:t>
            </w:r>
            <w:r w:rsidRPr="000F4A6D">
              <w:rPr>
                <w:rFonts w:ascii="Arial" w:eastAsia="Times New Roman" w:hAnsi="Arial" w:cs="Arial"/>
                <w:color w:val="333467"/>
                <w:sz w:val="20"/>
                <w:szCs w:val="20"/>
                <w:lang w:val="ru-RU"/>
              </w:rPr>
              <w:br/>
              <w:t>В = 22,70 + 1,61К1 + 0,34К2 + 0,02К3 + 48,96К4 -4,61К5 — 0,78К6</w:t>
            </w:r>
            <w:r w:rsidRPr="000F4A6D">
              <w:rPr>
                <w:rFonts w:ascii="Arial" w:eastAsia="Times New Roman" w:hAnsi="Arial" w:cs="Arial"/>
                <w:color w:val="333467"/>
                <w:sz w:val="20"/>
                <w:szCs w:val="20"/>
                <w:lang w:val="ru-RU"/>
              </w:rPr>
              <w:br/>
              <w:t>Северная лесостепь:</w:t>
            </w:r>
            <w:r w:rsidRPr="000F4A6D">
              <w:rPr>
                <w:rFonts w:ascii="Arial" w:eastAsia="Times New Roman" w:hAnsi="Arial" w:cs="Arial"/>
                <w:color w:val="333467"/>
                <w:sz w:val="20"/>
                <w:szCs w:val="20"/>
                <w:lang w:val="ru-RU"/>
              </w:rPr>
              <w:br/>
              <w:t>В = 33,62 + 3,36К1 — 0,13К2 + 0,33К3 + 26,23К4 + 3,83К5 — 0,25К6</w:t>
            </w:r>
            <w:r w:rsidRPr="000F4A6D">
              <w:rPr>
                <w:rFonts w:ascii="Arial" w:eastAsia="Times New Roman" w:hAnsi="Arial" w:cs="Arial"/>
                <w:color w:val="333467"/>
                <w:sz w:val="20"/>
                <w:szCs w:val="20"/>
                <w:lang w:val="ru-RU"/>
              </w:rPr>
              <w:br/>
              <w:t>Северная зона: В = 14,52 + 6,93К1 — 2,54К2 + 0,33К3 + 57,50К4 + 3,85К5 + 0,21К6</w:t>
            </w:r>
            <w:r w:rsidRPr="000F4A6D">
              <w:rPr>
                <w:rFonts w:ascii="Arial" w:eastAsia="Times New Roman" w:hAnsi="Arial" w:cs="Arial"/>
                <w:color w:val="333467"/>
                <w:sz w:val="20"/>
                <w:szCs w:val="20"/>
                <w:lang w:val="ru-RU"/>
              </w:rPr>
              <w:br/>
              <w:t xml:space="preserve">Результаты исследований показали, что несмотря на значимость каждого уравнения в целом, не все факторы являются значимыми. Так, если </w:t>
            </w:r>
            <w:r w:rsidRPr="000F4A6D">
              <w:rPr>
                <w:rFonts w:ascii="Arial" w:eastAsia="Times New Roman" w:hAnsi="Arial" w:cs="Arial"/>
                <w:color w:val="333467"/>
                <w:sz w:val="20"/>
                <w:szCs w:val="20"/>
              </w:rPr>
              <w:t>p</w:t>
            </w:r>
            <w:r w:rsidRPr="000F4A6D">
              <w:rPr>
                <w:rFonts w:ascii="Arial" w:eastAsia="Times New Roman" w:hAnsi="Arial" w:cs="Arial"/>
                <w:color w:val="333467"/>
                <w:sz w:val="20"/>
                <w:szCs w:val="20"/>
                <w:lang w:val="ru-RU"/>
              </w:rPr>
              <w:t>-</w:t>
            </w:r>
            <w:r w:rsidRPr="000F4A6D">
              <w:rPr>
                <w:rFonts w:ascii="Arial" w:eastAsia="Times New Roman" w:hAnsi="Arial" w:cs="Arial"/>
                <w:color w:val="333467"/>
                <w:sz w:val="20"/>
                <w:szCs w:val="20"/>
              </w:rPr>
              <w:t>level</w:t>
            </w:r>
            <w:r w:rsidRPr="000F4A6D">
              <w:rPr>
                <w:rFonts w:ascii="Arial" w:eastAsia="Times New Roman" w:hAnsi="Arial" w:cs="Arial"/>
                <w:color w:val="333467"/>
                <w:sz w:val="20"/>
                <w:szCs w:val="20"/>
                <w:lang w:val="ru-RU"/>
              </w:rPr>
              <w:t xml:space="preserve"> превышает заданный уровень значимости (</w:t>
            </w:r>
            <w:r w:rsidRPr="000F4A6D">
              <w:rPr>
                <w:rFonts w:ascii="Arial" w:eastAsia="Times New Roman" w:hAnsi="Arial" w:cs="Arial"/>
                <w:color w:val="333467"/>
                <w:sz w:val="20"/>
                <w:szCs w:val="20"/>
              </w:rPr>
              <w:t>α</w:t>
            </w:r>
            <w:r w:rsidRPr="000F4A6D">
              <w:rPr>
                <w:rFonts w:ascii="Arial" w:eastAsia="Times New Roman" w:hAnsi="Arial" w:cs="Arial"/>
                <w:color w:val="333467"/>
                <w:sz w:val="20"/>
                <w:szCs w:val="20"/>
                <w:lang w:val="ru-RU"/>
              </w:rPr>
              <w:t>) 0,05, то названные факторы являются незначимыми в уравнении регрессии. Значимыми факторами, оказывающими наибольшее влияние на степень кредитоспособности, являются те, которые имеют наибольший уровень значимости (</w:t>
            </w:r>
            <w:r w:rsidRPr="000F4A6D">
              <w:rPr>
                <w:rFonts w:ascii="Arial" w:eastAsia="Times New Roman" w:hAnsi="Arial" w:cs="Arial"/>
                <w:color w:val="333467"/>
                <w:sz w:val="20"/>
                <w:szCs w:val="20"/>
              </w:rPr>
              <w:t>p</w:t>
            </w:r>
            <w:r w:rsidRPr="000F4A6D">
              <w:rPr>
                <w:rFonts w:ascii="Arial" w:eastAsia="Times New Roman" w:hAnsi="Arial" w:cs="Arial"/>
                <w:color w:val="333467"/>
                <w:sz w:val="20"/>
                <w:szCs w:val="20"/>
                <w:lang w:val="ru-RU"/>
              </w:rPr>
              <w:t>-</w:t>
            </w:r>
            <w:r w:rsidRPr="000F4A6D">
              <w:rPr>
                <w:rFonts w:ascii="Arial" w:eastAsia="Times New Roman" w:hAnsi="Arial" w:cs="Arial"/>
                <w:color w:val="333467"/>
                <w:sz w:val="20"/>
                <w:szCs w:val="20"/>
              </w:rPr>
              <w:t>level</w:t>
            </w:r>
            <w:r w:rsidRPr="000F4A6D">
              <w:rPr>
                <w:rFonts w:ascii="Arial" w:eastAsia="Times New Roman" w:hAnsi="Arial" w:cs="Arial"/>
                <w:color w:val="333467"/>
                <w:sz w:val="20"/>
                <w:szCs w:val="20"/>
                <w:lang w:val="ru-RU"/>
              </w:rPr>
              <w:t>&lt;0,05).</w:t>
            </w:r>
            <w:r w:rsidRPr="000F4A6D">
              <w:rPr>
                <w:rFonts w:ascii="Arial" w:eastAsia="Times New Roman" w:hAnsi="Arial" w:cs="Arial"/>
                <w:color w:val="333467"/>
                <w:sz w:val="20"/>
                <w:szCs w:val="20"/>
                <w:lang w:val="ru-RU"/>
              </w:rPr>
              <w:br/>
              <w:t xml:space="preserve">Проведя пошаговую корреляцию, т. е. последовательно исключив факторы из моделей по принципу их наименьшей значимости, получили следующие результаты, представленные в табл. </w:t>
            </w:r>
            <w:r w:rsidRPr="000F4A6D">
              <w:rPr>
                <w:rFonts w:ascii="Arial" w:eastAsia="Times New Roman" w:hAnsi="Arial" w:cs="Arial"/>
                <w:color w:val="333467"/>
                <w:sz w:val="20"/>
                <w:szCs w:val="20"/>
              </w:rPr>
              <w:t>2.</w:t>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rPr>
            </w:pP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rPr>
            </w:pPr>
            <w:r w:rsidRPr="000F4A6D">
              <w:rPr>
                <w:rFonts w:ascii="Arial" w:eastAsia="Times New Roman" w:hAnsi="Arial" w:cs="Arial"/>
                <w:b/>
                <w:bCs/>
                <w:color w:val="333467"/>
                <w:sz w:val="20"/>
                <w:szCs w:val="20"/>
                <w:lang w:val="ru-RU"/>
              </w:rPr>
              <w:t>Таблица 2</w:t>
            </w:r>
            <w:r w:rsidRPr="000F4A6D">
              <w:rPr>
                <w:rFonts w:ascii="Arial" w:eastAsia="Times New Roman" w:hAnsi="Arial" w:cs="Arial"/>
                <w:b/>
                <w:bCs/>
                <w:color w:val="333467"/>
                <w:sz w:val="20"/>
                <w:szCs w:val="20"/>
                <w:lang w:val="ru-RU"/>
              </w:rPr>
              <w:br/>
              <w:t>Общие результаты оценки четырехфакторной модели по Омской области за 2007 г.</w:t>
            </w:r>
            <w:r w:rsidRPr="000F4A6D">
              <w:rPr>
                <w:rFonts w:ascii="Arial" w:eastAsia="Times New Roman" w:hAnsi="Arial" w:cs="Arial"/>
                <w:b/>
                <w:bCs/>
                <w:color w:val="333467"/>
                <w:sz w:val="20"/>
                <w:szCs w:val="20"/>
                <w:lang w:val="ru-RU"/>
              </w:rPr>
              <w:br/>
            </w:r>
            <w:r w:rsidRPr="000F4A6D">
              <w:rPr>
                <w:rFonts w:ascii="Arial" w:eastAsia="Times New Roman" w:hAnsi="Arial" w:cs="Arial"/>
                <w:b/>
                <w:bCs/>
                <w:color w:val="333467"/>
                <w:sz w:val="20"/>
                <w:szCs w:val="20"/>
                <w:lang w:val="ru-RU"/>
              </w:rPr>
              <w:br/>
            </w:r>
            <w:r w:rsidRPr="000F4A6D">
              <w:rPr>
                <w:rFonts w:ascii="Arial" w:eastAsia="Times New Roman" w:hAnsi="Arial" w:cs="Arial"/>
                <w:b/>
                <w:bCs/>
                <w:color w:val="333467"/>
                <w:sz w:val="20"/>
                <w:szCs w:val="20"/>
              </w:rPr>
              <w:t>Regression Summary for Dependent Variable: В (СБ2007-область)</w:t>
            </w:r>
            <w:r w:rsidRPr="000F4A6D">
              <w:rPr>
                <w:rFonts w:ascii="Arial" w:eastAsia="Times New Roman" w:hAnsi="Arial" w:cs="Arial"/>
                <w:b/>
                <w:bCs/>
                <w:color w:val="333467"/>
                <w:sz w:val="20"/>
                <w:szCs w:val="20"/>
              </w:rPr>
              <w:br/>
            </w:r>
            <w:r w:rsidRPr="000F4A6D">
              <w:rPr>
                <w:rFonts w:ascii="Arial" w:eastAsia="Times New Roman" w:hAnsi="Arial" w:cs="Arial"/>
                <w:b/>
                <w:bCs/>
                <w:color w:val="333467"/>
                <w:sz w:val="20"/>
                <w:szCs w:val="20"/>
              </w:rPr>
              <w:br/>
              <w:t>R= ,92710060 R?= ,81952735 Adjusted R?= ,81511608</w:t>
            </w:r>
            <w:r w:rsidRPr="000F4A6D">
              <w:rPr>
                <w:rFonts w:ascii="Arial" w:eastAsia="Times New Roman" w:hAnsi="Arial" w:cs="Arial"/>
                <w:b/>
                <w:bCs/>
                <w:color w:val="333467"/>
                <w:sz w:val="20"/>
                <w:szCs w:val="20"/>
              </w:rPr>
              <w:br/>
            </w:r>
            <w:r w:rsidRPr="000F4A6D">
              <w:rPr>
                <w:rFonts w:ascii="Arial" w:eastAsia="Times New Roman" w:hAnsi="Arial" w:cs="Arial"/>
                <w:b/>
                <w:bCs/>
                <w:color w:val="333467"/>
                <w:sz w:val="20"/>
                <w:szCs w:val="20"/>
              </w:rPr>
              <w:br/>
              <w:t xml:space="preserve">F(4,345)=140,44 p&lt;0,0000 </w:t>
            </w:r>
            <w:proofErr w:type="spellStart"/>
            <w:r w:rsidRPr="000F4A6D">
              <w:rPr>
                <w:rFonts w:ascii="Arial" w:eastAsia="Times New Roman" w:hAnsi="Arial" w:cs="Arial"/>
                <w:b/>
                <w:bCs/>
                <w:color w:val="333467"/>
                <w:sz w:val="20"/>
                <w:szCs w:val="20"/>
              </w:rPr>
              <w:t>Std.Erro</w:t>
            </w:r>
            <w:proofErr w:type="spellEnd"/>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rPr>
            </w:pPr>
            <w:r w:rsidRPr="000F4A6D">
              <w:rPr>
                <w:rFonts w:ascii="Arial" w:eastAsia="Times New Roman" w:hAnsi="Arial" w:cs="Arial"/>
                <w:noProof/>
                <w:color w:val="333467"/>
                <w:sz w:val="20"/>
                <w:szCs w:val="20"/>
              </w:rPr>
              <w:drawing>
                <wp:inline distT="0" distB="0" distL="0" distR="0" wp14:anchorId="54C1DE54" wp14:editId="2A658C0C">
                  <wp:extent cx="6656705" cy="1056005"/>
                  <wp:effectExtent l="0" t="0" r="0" b="0"/>
                  <wp:docPr id="2" name="Рисунок 2" descr="https://m-economy.ru/ftp_images/arts/29/29_09_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conomy.ru/ftp_images/arts/29/29_09_3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705" cy="1056005"/>
                          </a:xfrm>
                          <a:prstGeom prst="rect">
                            <a:avLst/>
                          </a:prstGeom>
                          <a:noFill/>
                          <a:ln>
                            <a:noFill/>
                          </a:ln>
                        </pic:spPr>
                      </pic:pic>
                    </a:graphicData>
                  </a:graphic>
                </wp:inline>
              </w:drawing>
            </w:r>
          </w:p>
        </w:tc>
      </w:tr>
      <w:tr w:rsidR="000F4A6D" w:rsidRPr="000F4A6D" w:rsidTr="000F4A6D">
        <w:trPr>
          <w:tblCellSpacing w:w="15" w:type="dxa"/>
        </w:trPr>
        <w:tc>
          <w:tcPr>
            <w:tcW w:w="0" w:type="auto"/>
            <w:vAlign w:val="center"/>
            <w:hideMark/>
          </w:tcPr>
          <w:p w:rsidR="000F4A6D" w:rsidRPr="000F4A6D" w:rsidRDefault="000F4A6D" w:rsidP="000F4A6D">
            <w:pPr>
              <w:spacing w:after="0" w:line="240" w:lineRule="auto"/>
              <w:jc w:val="both"/>
              <w:rPr>
                <w:rFonts w:ascii="Arial" w:eastAsia="Times New Roman" w:hAnsi="Arial" w:cs="Arial"/>
                <w:color w:val="333467"/>
                <w:sz w:val="20"/>
                <w:szCs w:val="20"/>
                <w:lang w:val="ru-RU"/>
              </w:rPr>
            </w:pPr>
            <w:r w:rsidRPr="000F4A6D">
              <w:rPr>
                <w:rFonts w:ascii="Arial" w:eastAsia="Times New Roman" w:hAnsi="Arial" w:cs="Arial"/>
                <w:color w:val="333467"/>
                <w:sz w:val="20"/>
                <w:szCs w:val="20"/>
                <w:lang w:val="ru-RU"/>
              </w:rPr>
              <w:lastRenderedPageBreak/>
              <w:br/>
              <w:t>Получен комплекс уравнений, содержащий наиболее значимые факторы, влияющие на степень кредитоспособности:</w:t>
            </w:r>
            <w:r w:rsidRPr="000F4A6D">
              <w:rPr>
                <w:rFonts w:ascii="Arial" w:eastAsia="Times New Roman" w:hAnsi="Arial" w:cs="Arial"/>
                <w:color w:val="333467"/>
                <w:sz w:val="20"/>
                <w:szCs w:val="20"/>
                <w:lang w:val="ru-RU"/>
              </w:rPr>
              <w:br/>
              <w:t>В 2007 году: область В = 28,82 + 0,23К3 + 38,20К4 — 2,31К5 + 0,35К6</w:t>
            </w:r>
            <w:r w:rsidRPr="000F4A6D">
              <w:rPr>
                <w:rFonts w:ascii="Arial" w:eastAsia="Times New Roman" w:hAnsi="Arial" w:cs="Arial"/>
                <w:color w:val="333467"/>
                <w:sz w:val="20"/>
                <w:szCs w:val="20"/>
                <w:lang w:val="ru-RU"/>
              </w:rPr>
              <w:br/>
              <w:t>Степная зона: В = 6,69 — 2,61К1 + 0,56К3 + 70,98К4 + 6,70К6</w:t>
            </w:r>
            <w:r w:rsidRPr="000F4A6D">
              <w:rPr>
                <w:rFonts w:ascii="Arial" w:eastAsia="Times New Roman" w:hAnsi="Arial" w:cs="Arial"/>
                <w:color w:val="333467"/>
                <w:sz w:val="20"/>
                <w:szCs w:val="20"/>
                <w:lang w:val="ru-RU"/>
              </w:rPr>
              <w:br/>
              <w:t>Южная лесостепь: В = 22,80 + 2,35К3 + 49,71К4 — 5,44К5</w:t>
            </w:r>
            <w:r w:rsidRPr="000F4A6D">
              <w:rPr>
                <w:rFonts w:ascii="Arial" w:eastAsia="Times New Roman" w:hAnsi="Arial" w:cs="Arial"/>
                <w:color w:val="333467"/>
                <w:sz w:val="20"/>
                <w:szCs w:val="20"/>
                <w:lang w:val="ru-RU"/>
              </w:rPr>
              <w:br/>
              <w:t>Северная лесостепь: В = 33,49 + 4,75К1 + 0,24К3 + 26,64К4</w:t>
            </w:r>
            <w:r w:rsidRPr="000F4A6D">
              <w:rPr>
                <w:rFonts w:ascii="Arial" w:eastAsia="Times New Roman" w:hAnsi="Arial" w:cs="Arial"/>
                <w:color w:val="333467"/>
                <w:sz w:val="20"/>
                <w:szCs w:val="20"/>
                <w:lang w:val="ru-RU"/>
              </w:rPr>
              <w:br/>
              <w:t>Северная зона: В = 13,78 + 6,99К1 — 2,52К2 + 0,35К3 + 57,09К4 + 0,20К6</w:t>
            </w:r>
            <w:r w:rsidRPr="000F4A6D">
              <w:rPr>
                <w:rFonts w:ascii="Arial" w:eastAsia="Times New Roman" w:hAnsi="Arial" w:cs="Arial"/>
                <w:color w:val="333467"/>
                <w:sz w:val="20"/>
                <w:szCs w:val="20"/>
                <w:lang w:val="ru-RU"/>
              </w:rPr>
              <w:br/>
              <w:t>Исследования показали, что оценку можно проводить по двум показателям, оказывающим наиболее существенное влияние на финансовое состояние сельскохозяйственных товаропроизводителей:</w:t>
            </w:r>
            <w:r w:rsidRPr="000F4A6D">
              <w:rPr>
                <w:rFonts w:ascii="Arial" w:eastAsia="Times New Roman" w:hAnsi="Arial" w:cs="Arial"/>
                <w:color w:val="333467"/>
                <w:sz w:val="20"/>
                <w:szCs w:val="20"/>
                <w:lang w:val="ru-RU"/>
              </w:rPr>
              <w:br/>
              <w:t>— коэффициент наличия собственных средств (К4), у которого показатель вероятности ошибки (</w:t>
            </w:r>
            <w:r w:rsidRPr="000F4A6D">
              <w:rPr>
                <w:rFonts w:ascii="Arial" w:eastAsia="Times New Roman" w:hAnsi="Arial" w:cs="Arial"/>
                <w:color w:val="333467"/>
                <w:sz w:val="20"/>
                <w:szCs w:val="20"/>
              </w:rPr>
              <w:t>p</w:t>
            </w:r>
            <w:r w:rsidRPr="000F4A6D">
              <w:rPr>
                <w:rFonts w:ascii="Arial" w:eastAsia="Times New Roman" w:hAnsi="Arial" w:cs="Arial"/>
                <w:color w:val="333467"/>
                <w:sz w:val="20"/>
                <w:szCs w:val="20"/>
                <w:lang w:val="ru-RU"/>
              </w:rPr>
              <w:t>-</w:t>
            </w:r>
            <w:r w:rsidRPr="000F4A6D">
              <w:rPr>
                <w:rFonts w:ascii="Arial" w:eastAsia="Times New Roman" w:hAnsi="Arial" w:cs="Arial"/>
                <w:color w:val="333467"/>
                <w:sz w:val="20"/>
                <w:szCs w:val="20"/>
              </w:rPr>
              <w:t>level</w:t>
            </w:r>
            <w:r w:rsidRPr="000F4A6D">
              <w:rPr>
                <w:rFonts w:ascii="Arial" w:eastAsia="Times New Roman" w:hAnsi="Arial" w:cs="Arial"/>
                <w:color w:val="333467"/>
                <w:sz w:val="20"/>
                <w:szCs w:val="20"/>
                <w:lang w:val="ru-RU"/>
              </w:rPr>
              <w:t>) равен 0,0000;</w:t>
            </w:r>
            <w:r w:rsidRPr="000F4A6D">
              <w:rPr>
                <w:rFonts w:ascii="Arial" w:eastAsia="Times New Roman" w:hAnsi="Arial" w:cs="Arial"/>
                <w:color w:val="333467"/>
                <w:sz w:val="20"/>
                <w:szCs w:val="20"/>
                <w:lang w:val="ru-RU"/>
              </w:rPr>
              <w:br/>
              <w:t xml:space="preserve">— коэффициент текущей ликвидности (К3), у которого </w:t>
            </w:r>
            <w:r w:rsidRPr="000F4A6D">
              <w:rPr>
                <w:rFonts w:ascii="Arial" w:eastAsia="Times New Roman" w:hAnsi="Arial" w:cs="Arial"/>
                <w:color w:val="333467"/>
                <w:sz w:val="20"/>
                <w:szCs w:val="20"/>
              </w:rPr>
              <w:t>p</w:t>
            </w:r>
            <w:r w:rsidRPr="000F4A6D">
              <w:rPr>
                <w:rFonts w:ascii="Arial" w:eastAsia="Times New Roman" w:hAnsi="Arial" w:cs="Arial"/>
                <w:color w:val="333467"/>
                <w:sz w:val="20"/>
                <w:szCs w:val="20"/>
                <w:lang w:val="ru-RU"/>
              </w:rPr>
              <w:t>-</w:t>
            </w:r>
            <w:r w:rsidRPr="000F4A6D">
              <w:rPr>
                <w:rFonts w:ascii="Arial" w:eastAsia="Times New Roman" w:hAnsi="Arial" w:cs="Arial"/>
                <w:color w:val="333467"/>
                <w:sz w:val="20"/>
                <w:szCs w:val="20"/>
              </w:rPr>
              <w:t>level</w:t>
            </w:r>
            <w:r w:rsidRPr="000F4A6D">
              <w:rPr>
                <w:rFonts w:ascii="Arial" w:eastAsia="Times New Roman" w:hAnsi="Arial" w:cs="Arial"/>
                <w:color w:val="333467"/>
                <w:sz w:val="20"/>
                <w:szCs w:val="20"/>
                <w:lang w:val="ru-RU"/>
              </w:rPr>
              <w:t xml:space="preserve"> также равен 0,0000.</w:t>
            </w:r>
            <w:r w:rsidRPr="000F4A6D">
              <w:rPr>
                <w:rFonts w:ascii="Arial" w:eastAsia="Times New Roman" w:hAnsi="Arial" w:cs="Arial"/>
                <w:color w:val="333467"/>
                <w:sz w:val="20"/>
                <w:szCs w:val="20"/>
                <w:lang w:val="ru-RU"/>
              </w:rPr>
              <w:br/>
              <w:t>Таким образом, создан комплекс моделей, позволяющих проанализировать финансовое состояние сельскохозяйственной организации и сделать обоснованный вывод о ее кредитоспособности с учетом требований, применяемых Сбербанком России.</w:t>
            </w:r>
            <w:r w:rsidRPr="000F4A6D">
              <w:rPr>
                <w:rFonts w:ascii="Arial" w:eastAsia="Times New Roman" w:hAnsi="Arial" w:cs="Arial"/>
                <w:color w:val="333467"/>
                <w:sz w:val="20"/>
                <w:szCs w:val="20"/>
                <w:lang w:val="ru-RU"/>
              </w:rPr>
              <w:br/>
              <w:t>Предлагаемые методы анализа финансового состояния заемщика приемлемы для российских условий, они адаптированы к аграрному сектору.</w:t>
            </w:r>
            <w:r w:rsidRPr="000F4A6D">
              <w:rPr>
                <w:rFonts w:ascii="Arial" w:eastAsia="Times New Roman" w:hAnsi="Arial" w:cs="Arial"/>
                <w:color w:val="333467"/>
                <w:sz w:val="20"/>
                <w:szCs w:val="20"/>
                <w:lang w:val="ru-RU"/>
              </w:rPr>
              <w:br/>
              <w:t>Модели созданы на региональном массиве данных и представлены в разрезе по природно-хозяйственным зонам области, что позволяет лучше учесть их специфику и разработать модель, позволяющую более точно оценить кредитоспособность сельскохозяйственных организаций, находящихся в различных зонах.</w:t>
            </w:r>
            <w:r w:rsidRPr="000F4A6D">
              <w:rPr>
                <w:rFonts w:ascii="Arial" w:eastAsia="Times New Roman" w:hAnsi="Arial" w:cs="Arial"/>
                <w:color w:val="333467"/>
                <w:sz w:val="20"/>
                <w:szCs w:val="20"/>
                <w:lang w:val="ru-RU"/>
              </w:rPr>
              <w:br/>
              <w:t>Предлагаемые авторами модели возможны для применения не только для целей оценки кредитоспособности заемщика, но и для экспресс-анализа финансового положения сельскохозяйственных организаций; мониторинга финансового положения сельскохозяйственных организаций; внутреннего аудита.</w:t>
            </w:r>
          </w:p>
        </w:tc>
      </w:tr>
      <w:tr w:rsidR="000F4A6D" w:rsidRPr="000F4A6D" w:rsidTr="000F4A6D">
        <w:trPr>
          <w:tblCellSpacing w:w="15" w:type="dxa"/>
        </w:trPr>
        <w:tc>
          <w:tcPr>
            <w:tcW w:w="0" w:type="auto"/>
            <w:vAlign w:val="center"/>
            <w:hideMark/>
          </w:tcPr>
          <w:p w:rsidR="000F4A6D" w:rsidRPr="000F4A6D" w:rsidRDefault="000F4A6D" w:rsidP="000F4A6D">
            <w:pPr>
              <w:shd w:val="clear" w:color="auto" w:fill="FFFFFF"/>
              <w:spacing w:before="100" w:beforeAutospacing="1" w:after="100" w:afterAutospacing="1" w:line="240" w:lineRule="auto"/>
              <w:jc w:val="right"/>
              <w:rPr>
                <w:rFonts w:ascii="Times New Roman" w:eastAsia="Times New Roman" w:hAnsi="Times New Roman" w:cs="Times New Roman"/>
                <w:color w:val="333467"/>
                <w:sz w:val="20"/>
                <w:szCs w:val="20"/>
              </w:rPr>
            </w:pPr>
            <w:r w:rsidRPr="000F4A6D">
              <w:rPr>
                <w:rFonts w:ascii="Times New Roman" w:eastAsia="Times New Roman" w:hAnsi="Times New Roman" w:cs="Times New Roman"/>
                <w:i/>
                <w:iCs/>
                <w:color w:val="333467"/>
                <w:sz w:val="20"/>
                <w:szCs w:val="20"/>
              </w:rPr>
              <w:fldChar w:fldCharType="begin"/>
            </w:r>
            <w:r w:rsidRPr="000F4A6D">
              <w:rPr>
                <w:rFonts w:ascii="Times New Roman" w:eastAsia="Times New Roman" w:hAnsi="Times New Roman" w:cs="Times New Roman"/>
                <w:i/>
                <w:iCs/>
                <w:color w:val="333467"/>
                <w:sz w:val="20"/>
                <w:szCs w:val="20"/>
              </w:rPr>
              <w:instrText xml:space="preserve"> HYPERLINK "https://m-economy.ru/issue.php?num=29" \l "24" </w:instrText>
            </w:r>
            <w:r w:rsidRPr="000F4A6D">
              <w:rPr>
                <w:rFonts w:ascii="Times New Roman" w:eastAsia="Times New Roman" w:hAnsi="Times New Roman" w:cs="Times New Roman"/>
                <w:i/>
                <w:iCs/>
                <w:color w:val="333467"/>
                <w:sz w:val="20"/>
                <w:szCs w:val="20"/>
              </w:rPr>
              <w:fldChar w:fldCharType="separate"/>
            </w:r>
            <w:proofErr w:type="spellStart"/>
            <w:r w:rsidRPr="000F4A6D">
              <w:rPr>
                <w:rFonts w:ascii="Times New Roman" w:eastAsia="Times New Roman" w:hAnsi="Times New Roman" w:cs="Times New Roman"/>
                <w:i/>
                <w:iCs/>
                <w:color w:val="0000FF"/>
                <w:sz w:val="20"/>
                <w:szCs w:val="20"/>
                <w:u w:val="single"/>
              </w:rPr>
              <w:t>Вернуться</w:t>
            </w:r>
            <w:proofErr w:type="spellEnd"/>
            <w:r w:rsidRPr="000F4A6D">
              <w:rPr>
                <w:rFonts w:ascii="Times New Roman" w:eastAsia="Times New Roman" w:hAnsi="Times New Roman" w:cs="Times New Roman"/>
                <w:i/>
                <w:iCs/>
                <w:color w:val="0000FF"/>
                <w:sz w:val="20"/>
                <w:szCs w:val="20"/>
                <w:u w:val="single"/>
              </w:rPr>
              <w:t xml:space="preserve"> к </w:t>
            </w:r>
            <w:proofErr w:type="spellStart"/>
            <w:r w:rsidRPr="000F4A6D">
              <w:rPr>
                <w:rFonts w:ascii="Times New Roman" w:eastAsia="Times New Roman" w:hAnsi="Times New Roman" w:cs="Times New Roman"/>
                <w:i/>
                <w:iCs/>
                <w:color w:val="0000FF"/>
                <w:sz w:val="20"/>
                <w:szCs w:val="20"/>
                <w:u w:val="single"/>
              </w:rPr>
              <w:t>содержанию</w:t>
            </w:r>
            <w:proofErr w:type="spellEnd"/>
            <w:r w:rsidRPr="000F4A6D">
              <w:rPr>
                <w:rFonts w:ascii="Times New Roman" w:eastAsia="Times New Roman" w:hAnsi="Times New Roman" w:cs="Times New Roman"/>
                <w:i/>
                <w:iCs/>
                <w:color w:val="0000FF"/>
                <w:sz w:val="20"/>
                <w:szCs w:val="20"/>
                <w:u w:val="single"/>
              </w:rPr>
              <w:t xml:space="preserve"> </w:t>
            </w:r>
            <w:proofErr w:type="spellStart"/>
            <w:r w:rsidRPr="000F4A6D">
              <w:rPr>
                <w:rFonts w:ascii="Times New Roman" w:eastAsia="Times New Roman" w:hAnsi="Times New Roman" w:cs="Times New Roman"/>
                <w:i/>
                <w:iCs/>
                <w:color w:val="0000FF"/>
                <w:sz w:val="20"/>
                <w:szCs w:val="20"/>
                <w:u w:val="single"/>
              </w:rPr>
              <w:t>номера</w:t>
            </w:r>
            <w:proofErr w:type="spellEnd"/>
            <w:r w:rsidRPr="000F4A6D">
              <w:rPr>
                <w:rFonts w:ascii="Times New Roman" w:eastAsia="Times New Roman" w:hAnsi="Times New Roman" w:cs="Times New Roman"/>
                <w:i/>
                <w:iCs/>
                <w:color w:val="333467"/>
                <w:sz w:val="20"/>
                <w:szCs w:val="20"/>
              </w:rPr>
              <w:fldChar w:fldCharType="end"/>
            </w:r>
          </w:p>
        </w:tc>
      </w:tr>
    </w:tbl>
    <w:p w:rsidR="00E83317" w:rsidRDefault="00E83317">
      <w:bookmarkStart w:id="0" w:name="_GoBack"/>
      <w:bookmarkEnd w:id="0"/>
    </w:p>
    <w:sectPr w:rsidR="00E83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E3"/>
    <w:rsid w:val="000F4A6D"/>
    <w:rsid w:val="00254EE3"/>
    <w:rsid w:val="00E833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77C34-6567-4265-8B3B-680FB3B3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m-economy.ru/keyword.php?id=4422&amp;lan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conomy.ru/keyword.php?id=4421&amp;lang=R" TargetMode="External"/><Relationship Id="rId11" Type="http://schemas.openxmlformats.org/officeDocument/2006/relationships/theme" Target="theme/theme1.xml"/><Relationship Id="rId5" Type="http://schemas.openxmlformats.org/officeDocument/2006/relationships/hyperlink" Target="https://m-economy.ru/keyword.php?id=3424&amp;lang=R" TargetMode="External"/><Relationship Id="rId10" Type="http://schemas.openxmlformats.org/officeDocument/2006/relationships/fontTable" Target="fontTable.xml"/><Relationship Id="rId4" Type="http://schemas.openxmlformats.org/officeDocument/2006/relationships/hyperlink" Target="https://m-economy.ru/keyword.php?id=4404&amp;lang=R" TargetMode="Externa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2336</Words>
  <Characters>13316</Characters>
  <Application>Microsoft Office Word</Application>
  <DocSecurity>0</DocSecurity>
  <Lines>110</Lines>
  <Paragraphs>31</Paragraphs>
  <ScaleCrop>false</ScaleCrop>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2025-09-16T03:02:00Z</dcterms:created>
  <dcterms:modified xsi:type="dcterms:W3CDTF">2025-09-16T03:02:00Z</dcterms:modified>
</cp:coreProperties>
</file>